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EC325" w14:textId="48D14328" w:rsidR="00CC1AED" w:rsidRDefault="004175CF" w:rsidP="004175CF">
      <w:pPr>
        <w:pStyle w:val="Heading1"/>
        <w:rPr>
          <w:rFonts w:ascii="Times New Roman" w:eastAsia="Times New Roman" w:hAnsi="Times New Roman" w:cs="Times New Roman"/>
          <w:caps w:val="0"/>
          <w:spacing w:val="0"/>
          <w:kern w:val="36"/>
          <w:sz w:val="24"/>
          <w:szCs w:val="24"/>
          <w:lang w:eastAsia="en-IE"/>
        </w:rPr>
      </w:pPr>
      <w:r w:rsidRPr="004175CF">
        <w:rPr>
          <w:rFonts w:ascii="Times New Roman" w:eastAsia="Times New Roman" w:hAnsi="Times New Roman" w:cs="Times New Roman"/>
          <w:kern w:val="36"/>
          <w:sz w:val="24"/>
          <w:szCs w:val="24"/>
          <w:lang w:eastAsia="en-IE"/>
        </w:rPr>
        <w:t>Joint Committee on Finance, Public Expenditure and Reform, and Taoiseach debate -</w:t>
      </w:r>
      <w:r w:rsidRPr="004175CF">
        <w:rPr>
          <w:rFonts w:ascii="Times New Roman" w:eastAsia="Times New Roman" w:hAnsi="Times New Roman" w:cs="Times New Roman"/>
          <w:caps w:val="0"/>
          <w:spacing w:val="0"/>
          <w:kern w:val="36"/>
          <w:sz w:val="24"/>
          <w:szCs w:val="24"/>
          <w:lang w:eastAsia="en-IE"/>
        </w:rPr>
        <w:t xml:space="preserve"> </w:t>
      </w:r>
      <w:r w:rsidRPr="004175CF">
        <w:rPr>
          <w:rFonts w:ascii="Times New Roman" w:eastAsia="Times New Roman" w:hAnsi="Times New Roman" w:cs="Times New Roman"/>
          <w:caps w:val="0"/>
          <w:spacing w:val="0"/>
          <w:kern w:val="36"/>
          <w:sz w:val="24"/>
          <w:szCs w:val="24"/>
          <w:lang w:eastAsia="en-IE"/>
        </w:rPr>
        <w:t>Wednesday, 13 Dec 2023</w:t>
      </w:r>
    </w:p>
    <w:p w14:paraId="67ADBFD1" w14:textId="77777777" w:rsidR="004175CF" w:rsidRPr="004175CF" w:rsidRDefault="004175CF" w:rsidP="004175CF">
      <w:pPr>
        <w:rPr>
          <w:lang w:eastAsia="en-IE"/>
        </w:rPr>
      </w:pPr>
    </w:p>
    <w:p w14:paraId="5FE8717B" w14:textId="77777777" w:rsidR="00195562" w:rsidRDefault="004B4D8B" w:rsidP="00610776">
      <w:pPr>
        <w:spacing w:line="240" w:lineRule="auto"/>
        <w:ind w:left="720" w:hanging="720"/>
        <w:jc w:val="left"/>
        <w:rPr>
          <w:rFonts w:asciiTheme="majorHAnsi" w:hAnsiTheme="majorHAnsi" w:cstheme="majorHAnsi"/>
          <w:b/>
          <w:bCs/>
          <w:sz w:val="28"/>
          <w:szCs w:val="28"/>
        </w:rPr>
      </w:pPr>
      <w:r w:rsidRPr="00DE6999">
        <w:rPr>
          <w:rFonts w:asciiTheme="majorHAnsi" w:hAnsiTheme="majorHAnsi" w:cstheme="majorHAnsi"/>
          <w:b/>
          <w:bCs/>
          <w:sz w:val="28"/>
          <w:szCs w:val="28"/>
        </w:rPr>
        <w:t>Re:</w:t>
      </w:r>
      <w:r w:rsidR="00610776">
        <w:rPr>
          <w:rFonts w:asciiTheme="majorHAnsi" w:hAnsiTheme="majorHAnsi" w:cstheme="majorHAnsi"/>
          <w:b/>
          <w:bCs/>
          <w:sz w:val="28"/>
          <w:szCs w:val="28"/>
        </w:rPr>
        <w:tab/>
      </w:r>
      <w:r w:rsidR="00D864C2" w:rsidRPr="00DE6999">
        <w:rPr>
          <w:rFonts w:asciiTheme="majorHAnsi" w:hAnsiTheme="majorHAnsi" w:cstheme="majorHAnsi"/>
          <w:b/>
          <w:bCs/>
          <w:sz w:val="28"/>
          <w:szCs w:val="28"/>
        </w:rPr>
        <w:t xml:space="preserve">Directive (EU) 2021/2167 on </w:t>
      </w:r>
      <w:r w:rsidR="002E504A" w:rsidRPr="00DE6999">
        <w:rPr>
          <w:rFonts w:asciiTheme="majorHAnsi" w:hAnsiTheme="majorHAnsi" w:cstheme="majorHAnsi"/>
          <w:b/>
          <w:bCs/>
          <w:sz w:val="28"/>
          <w:szCs w:val="28"/>
        </w:rPr>
        <w:t>C</w:t>
      </w:r>
      <w:r w:rsidR="00D864C2" w:rsidRPr="00DE6999">
        <w:rPr>
          <w:rFonts w:asciiTheme="majorHAnsi" w:hAnsiTheme="majorHAnsi" w:cstheme="majorHAnsi"/>
          <w:b/>
          <w:bCs/>
          <w:sz w:val="28"/>
          <w:szCs w:val="28"/>
        </w:rPr>
        <w:t xml:space="preserve">redit </w:t>
      </w:r>
      <w:r w:rsidR="002E504A" w:rsidRPr="00DE6999">
        <w:rPr>
          <w:rFonts w:asciiTheme="majorHAnsi" w:hAnsiTheme="majorHAnsi" w:cstheme="majorHAnsi"/>
          <w:b/>
          <w:bCs/>
          <w:sz w:val="28"/>
          <w:szCs w:val="28"/>
        </w:rPr>
        <w:t>S</w:t>
      </w:r>
      <w:r w:rsidR="00D864C2" w:rsidRPr="00DE6999">
        <w:rPr>
          <w:rFonts w:asciiTheme="majorHAnsi" w:hAnsiTheme="majorHAnsi" w:cstheme="majorHAnsi"/>
          <w:b/>
          <w:bCs/>
          <w:sz w:val="28"/>
          <w:szCs w:val="28"/>
        </w:rPr>
        <w:t xml:space="preserve">ervicers and </w:t>
      </w:r>
      <w:r w:rsidR="002E504A" w:rsidRPr="00DE6999">
        <w:rPr>
          <w:rFonts w:asciiTheme="majorHAnsi" w:hAnsiTheme="majorHAnsi" w:cstheme="majorHAnsi"/>
          <w:b/>
          <w:bCs/>
          <w:sz w:val="28"/>
          <w:szCs w:val="28"/>
        </w:rPr>
        <w:t>C</w:t>
      </w:r>
      <w:r w:rsidR="00D864C2" w:rsidRPr="00DE6999">
        <w:rPr>
          <w:rFonts w:asciiTheme="majorHAnsi" w:hAnsiTheme="majorHAnsi" w:cstheme="majorHAnsi"/>
          <w:b/>
          <w:bCs/>
          <w:sz w:val="28"/>
          <w:szCs w:val="28"/>
        </w:rPr>
        <w:t>redi</w:t>
      </w:r>
      <w:r w:rsidR="00610776">
        <w:rPr>
          <w:rFonts w:asciiTheme="majorHAnsi" w:hAnsiTheme="majorHAnsi" w:cstheme="majorHAnsi"/>
          <w:b/>
          <w:bCs/>
          <w:sz w:val="28"/>
          <w:szCs w:val="28"/>
        </w:rPr>
        <w:t>t Purchasers</w:t>
      </w:r>
    </w:p>
    <w:p w14:paraId="45F6DF24" w14:textId="74C90C44" w:rsidR="00DE6999" w:rsidRPr="00610776" w:rsidRDefault="00F27998" w:rsidP="00610776">
      <w:pPr>
        <w:spacing w:line="240" w:lineRule="auto"/>
        <w:ind w:left="720" w:hanging="720"/>
        <w:jc w:val="left"/>
        <w:rPr>
          <w:rFonts w:asciiTheme="majorHAnsi" w:hAnsiTheme="majorHAnsi" w:cstheme="majorHAnsi"/>
          <w:b/>
          <w:bCs/>
          <w:sz w:val="28"/>
          <w:szCs w:val="28"/>
        </w:rPr>
      </w:pPr>
      <w:r>
        <w:rPr>
          <w:rFonts w:asciiTheme="majorHAnsi" w:hAnsiTheme="majorHAnsi" w:cstheme="majorHAnsi"/>
          <w:b/>
          <w:bCs/>
          <w:sz w:val="28"/>
          <w:szCs w:val="28"/>
          <w:u w:val="single"/>
        </w:rPr>
        <w:t xml:space="preserve">The </w:t>
      </w:r>
      <w:r w:rsidR="004B4D8B">
        <w:rPr>
          <w:rFonts w:asciiTheme="majorHAnsi" w:hAnsiTheme="majorHAnsi" w:cstheme="majorHAnsi"/>
          <w:b/>
          <w:bCs/>
          <w:sz w:val="28"/>
          <w:szCs w:val="28"/>
          <w:u w:val="single"/>
        </w:rPr>
        <w:t>New</w:t>
      </w:r>
      <w:r w:rsidR="000C64E5" w:rsidRPr="00DE6999">
        <w:rPr>
          <w:rFonts w:asciiTheme="majorHAnsi" w:hAnsiTheme="majorHAnsi" w:cstheme="majorHAnsi"/>
          <w:b/>
          <w:bCs/>
          <w:sz w:val="28"/>
          <w:szCs w:val="28"/>
          <w:u w:val="single"/>
        </w:rPr>
        <w:t xml:space="preserve"> </w:t>
      </w:r>
      <w:r w:rsidR="00CF3EB1">
        <w:rPr>
          <w:rFonts w:asciiTheme="majorHAnsi" w:hAnsiTheme="majorHAnsi" w:cstheme="majorHAnsi"/>
          <w:b/>
          <w:bCs/>
          <w:sz w:val="28"/>
          <w:szCs w:val="28"/>
          <w:u w:val="single"/>
        </w:rPr>
        <w:t xml:space="preserve">EU </w:t>
      </w:r>
      <w:r w:rsidR="002E504A" w:rsidRPr="00DE6999">
        <w:rPr>
          <w:rFonts w:asciiTheme="majorHAnsi" w:hAnsiTheme="majorHAnsi" w:cstheme="majorHAnsi"/>
          <w:b/>
          <w:bCs/>
          <w:sz w:val="28"/>
          <w:szCs w:val="28"/>
          <w:u w:val="single"/>
        </w:rPr>
        <w:t>Mortgage Moratorium on Repossessions</w:t>
      </w:r>
    </w:p>
    <w:p w14:paraId="71AAFD38" w14:textId="7418D7A4" w:rsidR="00F20D74" w:rsidRPr="00610DA4" w:rsidRDefault="000C64E5" w:rsidP="00AF6BF5">
      <w:pPr>
        <w:spacing w:line="240" w:lineRule="auto"/>
        <w:jc w:val="left"/>
        <w:rPr>
          <w:rFonts w:asciiTheme="majorHAnsi" w:hAnsiTheme="majorHAnsi" w:cstheme="majorHAnsi"/>
          <w:sz w:val="24"/>
          <w:szCs w:val="24"/>
        </w:rPr>
      </w:pPr>
      <w:r w:rsidRPr="000C64E5">
        <w:rPr>
          <w:rFonts w:asciiTheme="majorHAnsi" w:hAnsiTheme="majorHAnsi" w:cstheme="majorHAnsi"/>
          <w:sz w:val="24"/>
          <w:szCs w:val="24"/>
        </w:rPr>
        <w:t>T</w:t>
      </w:r>
      <w:r>
        <w:rPr>
          <w:rFonts w:asciiTheme="majorHAnsi" w:hAnsiTheme="majorHAnsi" w:cstheme="majorHAnsi"/>
          <w:sz w:val="24"/>
          <w:szCs w:val="24"/>
        </w:rPr>
        <w:t>o all TDs and Senators,</w:t>
      </w:r>
    </w:p>
    <w:p w14:paraId="4B3B30CF" w14:textId="0A50627B" w:rsidR="00D864C2" w:rsidRPr="00610776" w:rsidRDefault="002E504A" w:rsidP="00AF6BF5">
      <w:pPr>
        <w:spacing w:line="240" w:lineRule="auto"/>
        <w:jc w:val="left"/>
        <w:rPr>
          <w:rFonts w:asciiTheme="majorHAnsi" w:hAnsiTheme="majorHAnsi" w:cstheme="majorHAnsi"/>
          <w:b/>
          <w:bCs/>
          <w:sz w:val="28"/>
          <w:szCs w:val="28"/>
        </w:rPr>
      </w:pPr>
      <w:r w:rsidRPr="00DE6999">
        <w:rPr>
          <w:rFonts w:asciiTheme="majorHAnsi" w:hAnsiTheme="majorHAnsi" w:cstheme="majorHAnsi"/>
          <w:b/>
          <w:bCs/>
          <w:sz w:val="28"/>
          <w:szCs w:val="28"/>
        </w:rPr>
        <w:t xml:space="preserve">A </w:t>
      </w:r>
      <w:proofErr w:type="spellStart"/>
      <w:r w:rsidRPr="00DE6999">
        <w:rPr>
          <w:rFonts w:asciiTheme="majorHAnsi" w:hAnsiTheme="majorHAnsi" w:cstheme="majorHAnsi"/>
          <w:b/>
          <w:bCs/>
          <w:sz w:val="28"/>
          <w:szCs w:val="28"/>
        </w:rPr>
        <w:t>Chairde</w:t>
      </w:r>
      <w:proofErr w:type="spellEnd"/>
      <w:r w:rsidRPr="000C64E5">
        <w:rPr>
          <w:rFonts w:asciiTheme="majorHAnsi" w:hAnsiTheme="majorHAnsi" w:cstheme="majorHAnsi"/>
          <w:sz w:val="24"/>
          <w:szCs w:val="24"/>
        </w:rPr>
        <w:t>,</w:t>
      </w:r>
    </w:p>
    <w:p w14:paraId="67411BC9" w14:textId="77777777" w:rsidR="00AF6BF5" w:rsidRDefault="000E0658" w:rsidP="00AF6BF5">
      <w:pPr>
        <w:spacing w:line="240" w:lineRule="auto"/>
        <w:jc w:val="left"/>
        <w:rPr>
          <w:rFonts w:asciiTheme="majorHAnsi" w:hAnsiTheme="majorHAnsi" w:cstheme="majorHAnsi"/>
        </w:rPr>
      </w:pPr>
      <w:r>
        <w:rPr>
          <w:rFonts w:asciiTheme="majorHAnsi" w:hAnsiTheme="majorHAnsi" w:cstheme="majorHAnsi"/>
        </w:rPr>
        <w:t>Y</w:t>
      </w:r>
      <w:r w:rsidR="00D864C2" w:rsidRPr="00925D7A">
        <w:rPr>
          <w:rFonts w:asciiTheme="majorHAnsi" w:hAnsiTheme="majorHAnsi" w:cstheme="majorHAnsi"/>
        </w:rPr>
        <w:t>our staff are frequently asked for advice and help in regard to mortgage arrears on their housing loans</w:t>
      </w:r>
      <w:r>
        <w:rPr>
          <w:rFonts w:asciiTheme="majorHAnsi" w:hAnsiTheme="majorHAnsi" w:cstheme="majorHAnsi"/>
        </w:rPr>
        <w:t>.</w:t>
      </w:r>
      <w:r w:rsidR="00D864C2" w:rsidRPr="00925D7A">
        <w:rPr>
          <w:rFonts w:asciiTheme="majorHAnsi" w:hAnsiTheme="majorHAnsi" w:cstheme="majorHAnsi"/>
        </w:rPr>
        <w:t xml:space="preserve"> </w:t>
      </w:r>
      <w:r>
        <w:rPr>
          <w:rFonts w:asciiTheme="majorHAnsi" w:hAnsiTheme="majorHAnsi" w:cstheme="majorHAnsi"/>
        </w:rPr>
        <w:t>L</w:t>
      </w:r>
      <w:r w:rsidR="005768A2" w:rsidRPr="00925D7A">
        <w:rPr>
          <w:rFonts w:asciiTheme="majorHAnsi" w:hAnsiTheme="majorHAnsi" w:cstheme="majorHAnsi"/>
        </w:rPr>
        <w:t xml:space="preserve">egal aid is not available to </w:t>
      </w:r>
      <w:r w:rsidR="00DE6999">
        <w:rPr>
          <w:rFonts w:asciiTheme="majorHAnsi" w:hAnsiTheme="majorHAnsi" w:cstheme="majorHAnsi"/>
        </w:rPr>
        <w:t xml:space="preserve">distressed </w:t>
      </w:r>
      <w:r w:rsidR="005768A2" w:rsidRPr="00925D7A">
        <w:rPr>
          <w:rFonts w:asciiTheme="majorHAnsi" w:hAnsiTheme="majorHAnsi" w:cstheme="majorHAnsi"/>
        </w:rPr>
        <w:t xml:space="preserve">borrowers in court and an obvious inequality of arms </w:t>
      </w:r>
      <w:r>
        <w:rPr>
          <w:rFonts w:asciiTheme="majorHAnsi" w:hAnsiTheme="majorHAnsi" w:cstheme="majorHAnsi"/>
        </w:rPr>
        <w:t>blights</w:t>
      </w:r>
      <w:r w:rsidR="005768A2" w:rsidRPr="00925D7A">
        <w:rPr>
          <w:rFonts w:asciiTheme="majorHAnsi" w:hAnsiTheme="majorHAnsi" w:cstheme="majorHAnsi"/>
        </w:rPr>
        <w:t xml:space="preserve"> all </w:t>
      </w:r>
      <w:r w:rsidR="005768A2" w:rsidRPr="00BE4D5F">
        <w:rPr>
          <w:rFonts w:asciiTheme="majorHAnsi" w:hAnsiTheme="majorHAnsi" w:cstheme="majorHAnsi"/>
          <w:i/>
          <w:iCs/>
        </w:rPr>
        <w:t>“repossession”</w:t>
      </w:r>
      <w:r w:rsidR="005768A2" w:rsidRPr="00925D7A">
        <w:rPr>
          <w:rFonts w:asciiTheme="majorHAnsi" w:hAnsiTheme="majorHAnsi" w:cstheme="majorHAnsi"/>
        </w:rPr>
        <w:t xml:space="preserve"> proceedings</w:t>
      </w:r>
      <w:r>
        <w:rPr>
          <w:rFonts w:asciiTheme="majorHAnsi" w:hAnsiTheme="majorHAnsi" w:cstheme="majorHAnsi"/>
        </w:rPr>
        <w:t>.</w:t>
      </w:r>
      <w:r w:rsidR="0076274A">
        <w:rPr>
          <w:rFonts w:asciiTheme="majorHAnsi" w:hAnsiTheme="majorHAnsi" w:cstheme="majorHAnsi"/>
        </w:rPr>
        <w:t xml:space="preserve"> </w:t>
      </w:r>
      <w:r w:rsidR="005768A2" w:rsidRPr="00925D7A">
        <w:rPr>
          <w:rFonts w:asciiTheme="majorHAnsi" w:hAnsiTheme="majorHAnsi" w:cstheme="majorHAnsi"/>
        </w:rPr>
        <w:t xml:space="preserve">How any litigant </w:t>
      </w:r>
      <w:r w:rsidR="005768A2" w:rsidRPr="00BE4D5F">
        <w:rPr>
          <w:rFonts w:asciiTheme="majorHAnsi" w:hAnsiTheme="majorHAnsi" w:cstheme="majorHAnsi"/>
          <w:i/>
          <w:iCs/>
        </w:rPr>
        <w:t>“in person”</w:t>
      </w:r>
      <w:r w:rsidR="005768A2" w:rsidRPr="00925D7A">
        <w:rPr>
          <w:rFonts w:asciiTheme="majorHAnsi" w:hAnsiTheme="majorHAnsi" w:cstheme="majorHAnsi"/>
        </w:rPr>
        <w:t xml:space="preserve"> can be expected to be familiar with inaccessible provisions in EU Directives or </w:t>
      </w:r>
      <w:r w:rsidR="00DE6999">
        <w:rPr>
          <w:rFonts w:asciiTheme="majorHAnsi" w:hAnsiTheme="majorHAnsi" w:cstheme="majorHAnsi"/>
        </w:rPr>
        <w:t>A</w:t>
      </w:r>
      <w:r w:rsidR="005768A2" w:rsidRPr="00925D7A">
        <w:rPr>
          <w:rFonts w:asciiTheme="majorHAnsi" w:hAnsiTheme="majorHAnsi" w:cstheme="majorHAnsi"/>
        </w:rPr>
        <w:t>mendments thereto</w:t>
      </w:r>
      <w:r w:rsidR="0076274A">
        <w:rPr>
          <w:rFonts w:asciiTheme="majorHAnsi" w:hAnsiTheme="majorHAnsi" w:cstheme="majorHAnsi"/>
        </w:rPr>
        <w:t>,</w:t>
      </w:r>
      <w:r w:rsidR="005768A2" w:rsidRPr="00925D7A">
        <w:rPr>
          <w:rFonts w:asciiTheme="majorHAnsi" w:hAnsiTheme="majorHAnsi" w:cstheme="majorHAnsi"/>
        </w:rPr>
        <w:t xml:space="preserve"> which are even less accessible</w:t>
      </w:r>
      <w:r w:rsidR="00DE6999">
        <w:rPr>
          <w:rFonts w:asciiTheme="majorHAnsi" w:hAnsiTheme="majorHAnsi" w:cstheme="majorHAnsi"/>
        </w:rPr>
        <w:t>,</w:t>
      </w:r>
      <w:r w:rsidR="005768A2" w:rsidRPr="00925D7A">
        <w:rPr>
          <w:rFonts w:asciiTheme="majorHAnsi" w:hAnsiTheme="majorHAnsi" w:cstheme="majorHAnsi"/>
        </w:rPr>
        <w:t xml:space="preserve"> or Irish Statutory Instruments</w:t>
      </w:r>
      <w:r w:rsidR="0076274A">
        <w:rPr>
          <w:rFonts w:asciiTheme="majorHAnsi" w:hAnsiTheme="majorHAnsi" w:cstheme="majorHAnsi"/>
        </w:rPr>
        <w:t>,</w:t>
      </w:r>
      <w:r w:rsidR="005768A2" w:rsidRPr="00925D7A">
        <w:rPr>
          <w:rFonts w:asciiTheme="majorHAnsi" w:hAnsiTheme="majorHAnsi" w:cstheme="majorHAnsi"/>
        </w:rPr>
        <w:t xml:space="preserve"> is beyond me.</w:t>
      </w:r>
    </w:p>
    <w:p w14:paraId="260ED8F5" w14:textId="3CA19F29" w:rsidR="00AF6BF5" w:rsidRDefault="00B571C0" w:rsidP="00AF6BF5">
      <w:pPr>
        <w:spacing w:line="240" w:lineRule="auto"/>
        <w:jc w:val="left"/>
        <w:rPr>
          <w:rFonts w:asciiTheme="majorHAnsi" w:hAnsiTheme="majorHAnsi" w:cstheme="majorHAnsi"/>
        </w:rPr>
      </w:pPr>
      <w:r w:rsidRPr="00925D7A">
        <w:rPr>
          <w:rFonts w:asciiTheme="majorHAnsi" w:hAnsiTheme="majorHAnsi" w:cstheme="majorHAnsi"/>
        </w:rPr>
        <w:t>You should be aware that, as of end December, the above Directive will have been transposed into Irish domestic law by a Ministerial Statutory Instrument to be signed by Minister Michael McGrath</w:t>
      </w:r>
      <w:r w:rsidR="0064458F">
        <w:rPr>
          <w:rFonts w:asciiTheme="majorHAnsi" w:hAnsiTheme="majorHAnsi" w:cstheme="majorHAnsi"/>
        </w:rPr>
        <w:t>.</w:t>
      </w:r>
    </w:p>
    <w:p w14:paraId="4A521920" w14:textId="23704B8B" w:rsidR="000C64E5" w:rsidRDefault="00B571C0" w:rsidP="00AF6BF5">
      <w:pPr>
        <w:spacing w:line="240" w:lineRule="auto"/>
        <w:jc w:val="left"/>
        <w:rPr>
          <w:rFonts w:asciiTheme="majorHAnsi" w:hAnsiTheme="majorHAnsi" w:cstheme="majorHAnsi"/>
        </w:rPr>
      </w:pPr>
      <w:r w:rsidRPr="00925D7A">
        <w:rPr>
          <w:rFonts w:asciiTheme="majorHAnsi" w:hAnsiTheme="majorHAnsi" w:cstheme="majorHAnsi"/>
        </w:rPr>
        <w:t xml:space="preserve">In part, that Directive (which deals primarily with Central Bank regulation of credit servicers and credit purchasers) also amends the 2014 Directive on Mortgage credit to require that mortgagors in distress be provided with helpful options </w:t>
      </w:r>
      <w:r w:rsidRPr="00BE4D5F">
        <w:rPr>
          <w:rFonts w:asciiTheme="majorHAnsi" w:hAnsiTheme="majorHAnsi" w:cstheme="majorHAnsi"/>
          <w:i/>
          <w:iCs/>
        </w:rPr>
        <w:t>“</w:t>
      </w:r>
      <w:r w:rsidRPr="000C64E5">
        <w:rPr>
          <w:rFonts w:asciiTheme="majorHAnsi" w:hAnsiTheme="majorHAnsi" w:cstheme="majorHAnsi"/>
          <w:i/>
          <w:iCs/>
        </w:rPr>
        <w:t>before foreclosure proceedings are initiated</w:t>
      </w:r>
      <w:r w:rsidRPr="00BE4D5F">
        <w:rPr>
          <w:rFonts w:asciiTheme="majorHAnsi" w:hAnsiTheme="majorHAnsi" w:cstheme="majorHAnsi"/>
          <w:i/>
          <w:iCs/>
        </w:rPr>
        <w:t>”.</w:t>
      </w:r>
      <w:r w:rsidRPr="00925D7A">
        <w:rPr>
          <w:rFonts w:asciiTheme="majorHAnsi" w:hAnsiTheme="majorHAnsi" w:cstheme="majorHAnsi"/>
        </w:rPr>
        <w:t xml:space="preserve"> Effectively this imposes </w:t>
      </w:r>
      <w:r w:rsidRPr="00F913FC">
        <w:rPr>
          <w:rFonts w:asciiTheme="majorHAnsi" w:hAnsiTheme="majorHAnsi" w:cstheme="majorHAnsi"/>
        </w:rPr>
        <w:t>a new moratorium</w:t>
      </w:r>
      <w:r w:rsidRPr="00925D7A">
        <w:rPr>
          <w:rFonts w:asciiTheme="majorHAnsi" w:hAnsiTheme="majorHAnsi" w:cstheme="majorHAnsi"/>
        </w:rPr>
        <w:t xml:space="preserve"> to enable “creditors to make efforts to exercise, where appropriate, reasonable forbearance</w:t>
      </w:r>
      <w:r w:rsidR="000439DE">
        <w:rPr>
          <w:rFonts w:asciiTheme="majorHAnsi" w:hAnsiTheme="majorHAnsi" w:cstheme="majorHAnsi"/>
        </w:rPr>
        <w:t>.</w:t>
      </w:r>
      <w:r w:rsidRPr="00925D7A">
        <w:rPr>
          <w:rFonts w:asciiTheme="majorHAnsi" w:hAnsiTheme="majorHAnsi" w:cstheme="majorHAnsi"/>
        </w:rPr>
        <w:t>”</w:t>
      </w:r>
      <w:r w:rsidR="000439DE">
        <w:rPr>
          <w:rFonts w:asciiTheme="majorHAnsi" w:hAnsiTheme="majorHAnsi" w:cstheme="majorHAnsi"/>
        </w:rPr>
        <w:t xml:space="preserve"> Article</w:t>
      </w:r>
      <w:r w:rsidRPr="00925D7A">
        <w:rPr>
          <w:rFonts w:asciiTheme="majorHAnsi" w:hAnsiTheme="majorHAnsi" w:cstheme="majorHAnsi"/>
        </w:rPr>
        <w:t xml:space="preserve"> 28 of the 2014 Directive, as now amended by the 2021 Directive</w:t>
      </w:r>
      <w:r w:rsidR="002C4F33">
        <w:rPr>
          <w:rFonts w:asciiTheme="majorHAnsi" w:hAnsiTheme="majorHAnsi" w:cstheme="majorHAnsi"/>
        </w:rPr>
        <w:t>,</w:t>
      </w:r>
      <w:r w:rsidRPr="00925D7A">
        <w:rPr>
          <w:rFonts w:asciiTheme="majorHAnsi" w:hAnsiTheme="majorHAnsi" w:cstheme="majorHAnsi"/>
        </w:rPr>
        <w:t xml:space="preserve"> </w:t>
      </w:r>
      <w:r w:rsidR="000C64E5">
        <w:rPr>
          <w:rFonts w:asciiTheme="majorHAnsi" w:hAnsiTheme="majorHAnsi" w:cstheme="majorHAnsi"/>
        </w:rPr>
        <w:t>now reads:</w:t>
      </w:r>
    </w:p>
    <w:p w14:paraId="773BD11F" w14:textId="7D16E260" w:rsidR="000C64E5" w:rsidRPr="000C64E5" w:rsidRDefault="000C64E5" w:rsidP="00AF6BF5">
      <w:pPr>
        <w:spacing w:line="240" w:lineRule="auto"/>
        <w:ind w:left="720"/>
        <w:jc w:val="left"/>
        <w:rPr>
          <w:rFonts w:asciiTheme="majorHAnsi" w:hAnsiTheme="majorHAnsi" w:cstheme="majorHAnsi"/>
          <w:i/>
          <w:iCs/>
        </w:rPr>
      </w:pPr>
      <w:r w:rsidRPr="000C64E5">
        <w:rPr>
          <w:rFonts w:asciiTheme="majorHAnsi" w:hAnsiTheme="majorHAnsi" w:cstheme="majorHAnsi"/>
          <w:i/>
          <w:iCs/>
        </w:rPr>
        <w:t>Member States shall require creditors to have adequate policies and procedures so that they make efforts to exercise, where appropriate, reasonable forbearance before foreclosure proceedings</w:t>
      </w:r>
      <w:r w:rsidR="002C4F33">
        <w:rPr>
          <w:rFonts w:asciiTheme="majorHAnsi" w:hAnsiTheme="majorHAnsi" w:cstheme="majorHAnsi"/>
          <w:i/>
          <w:iCs/>
        </w:rPr>
        <w:t xml:space="preserve"> </w:t>
      </w:r>
      <w:proofErr w:type="gramStart"/>
      <w:r w:rsidRPr="000C64E5">
        <w:rPr>
          <w:rFonts w:asciiTheme="majorHAnsi" w:hAnsiTheme="majorHAnsi" w:cstheme="majorHAnsi"/>
          <w:i/>
          <w:iCs/>
        </w:rPr>
        <w:t>are</w:t>
      </w:r>
      <w:proofErr w:type="gramEnd"/>
      <w:r w:rsidRPr="000C64E5">
        <w:rPr>
          <w:rFonts w:asciiTheme="majorHAnsi" w:hAnsiTheme="majorHAnsi" w:cstheme="majorHAnsi"/>
          <w:i/>
          <w:iCs/>
        </w:rPr>
        <w:t xml:space="preserve"> initiated. Such forbearance measures shall take into account, among other elements, the Consumer’s circumstances and may consist of, among other possibilities:</w:t>
      </w:r>
    </w:p>
    <w:p w14:paraId="4CD2789D" w14:textId="7D9141FF" w:rsidR="000C64E5" w:rsidRPr="00151F00" w:rsidRDefault="000C64E5" w:rsidP="00AF6BF5">
      <w:pPr>
        <w:pStyle w:val="ListParagraph"/>
        <w:numPr>
          <w:ilvl w:val="0"/>
          <w:numId w:val="2"/>
        </w:numPr>
        <w:spacing w:line="240" w:lineRule="auto"/>
        <w:jc w:val="left"/>
        <w:rPr>
          <w:rFonts w:asciiTheme="majorHAnsi" w:hAnsiTheme="majorHAnsi" w:cstheme="majorHAnsi"/>
          <w:i/>
          <w:iCs/>
        </w:rPr>
      </w:pPr>
      <w:r w:rsidRPr="00151F00">
        <w:rPr>
          <w:rFonts w:asciiTheme="majorHAnsi" w:hAnsiTheme="majorHAnsi" w:cstheme="majorHAnsi"/>
          <w:i/>
          <w:iCs/>
        </w:rPr>
        <w:t>A total or partial refinancing of a credit agreement;</w:t>
      </w:r>
    </w:p>
    <w:p w14:paraId="0728FB00" w14:textId="77777777" w:rsidR="00FC22E9" w:rsidRDefault="000C64E5" w:rsidP="00FC22E9">
      <w:pPr>
        <w:pStyle w:val="ListParagraph"/>
        <w:numPr>
          <w:ilvl w:val="0"/>
          <w:numId w:val="2"/>
        </w:numPr>
        <w:spacing w:line="240" w:lineRule="auto"/>
        <w:jc w:val="left"/>
        <w:rPr>
          <w:rFonts w:asciiTheme="majorHAnsi" w:hAnsiTheme="majorHAnsi" w:cstheme="majorHAnsi"/>
          <w:i/>
          <w:iCs/>
        </w:rPr>
      </w:pPr>
      <w:r w:rsidRPr="000C64E5">
        <w:rPr>
          <w:rFonts w:asciiTheme="majorHAnsi" w:hAnsiTheme="majorHAnsi" w:cstheme="majorHAnsi"/>
          <w:i/>
          <w:iCs/>
        </w:rPr>
        <w:t>A modification of the existing terms and conditions of credit agreements, which may include, among others:</w:t>
      </w:r>
    </w:p>
    <w:p w14:paraId="1A3572C6" w14:textId="371AA63D" w:rsidR="000C64E5" w:rsidRPr="00FC22E9" w:rsidRDefault="000C64E5" w:rsidP="00FC22E9">
      <w:pPr>
        <w:pStyle w:val="ListParagraph"/>
        <w:numPr>
          <w:ilvl w:val="1"/>
          <w:numId w:val="2"/>
        </w:numPr>
        <w:spacing w:line="240" w:lineRule="auto"/>
        <w:jc w:val="left"/>
        <w:rPr>
          <w:rFonts w:asciiTheme="majorHAnsi" w:hAnsiTheme="majorHAnsi" w:cstheme="majorHAnsi"/>
          <w:i/>
          <w:iCs/>
        </w:rPr>
      </w:pPr>
      <w:r w:rsidRPr="00FC22E9">
        <w:rPr>
          <w:rFonts w:asciiTheme="majorHAnsi" w:hAnsiTheme="majorHAnsi" w:cstheme="majorHAnsi"/>
          <w:i/>
          <w:iCs/>
        </w:rPr>
        <w:t>extending the term of the agreement;</w:t>
      </w:r>
    </w:p>
    <w:p w14:paraId="5DB1E4C0" w14:textId="12BDA723" w:rsidR="002968A9" w:rsidRDefault="002968A9" w:rsidP="002968A9">
      <w:pPr>
        <w:pStyle w:val="ListParagraph"/>
        <w:numPr>
          <w:ilvl w:val="1"/>
          <w:numId w:val="2"/>
        </w:numPr>
        <w:spacing w:line="240" w:lineRule="auto"/>
        <w:jc w:val="left"/>
        <w:rPr>
          <w:rFonts w:asciiTheme="majorHAnsi" w:hAnsiTheme="majorHAnsi" w:cstheme="majorHAnsi"/>
          <w:i/>
          <w:iCs/>
        </w:rPr>
      </w:pPr>
      <w:r>
        <w:rPr>
          <w:rFonts w:asciiTheme="majorHAnsi" w:hAnsiTheme="majorHAnsi" w:cstheme="majorHAnsi"/>
          <w:i/>
          <w:iCs/>
        </w:rPr>
        <w:t>changing the type of credit agreement;</w:t>
      </w:r>
    </w:p>
    <w:p w14:paraId="46D52D6B" w14:textId="10C191F4" w:rsidR="002968A9" w:rsidRDefault="002968A9" w:rsidP="002968A9">
      <w:pPr>
        <w:pStyle w:val="ListParagraph"/>
        <w:numPr>
          <w:ilvl w:val="1"/>
          <w:numId w:val="2"/>
        </w:numPr>
        <w:spacing w:line="240" w:lineRule="auto"/>
        <w:jc w:val="left"/>
        <w:rPr>
          <w:rFonts w:asciiTheme="majorHAnsi" w:hAnsiTheme="majorHAnsi" w:cstheme="majorHAnsi"/>
          <w:i/>
          <w:iCs/>
        </w:rPr>
      </w:pPr>
      <w:r>
        <w:rPr>
          <w:rFonts w:asciiTheme="majorHAnsi" w:hAnsiTheme="majorHAnsi" w:cstheme="majorHAnsi"/>
          <w:i/>
          <w:iCs/>
        </w:rPr>
        <w:t>deferring payment of all or part of the instalment repayment for a period;</w:t>
      </w:r>
    </w:p>
    <w:p w14:paraId="74B55974" w14:textId="77777777" w:rsidR="00FC22E9" w:rsidRDefault="002968A9" w:rsidP="00FC22E9">
      <w:pPr>
        <w:pStyle w:val="ListParagraph"/>
        <w:numPr>
          <w:ilvl w:val="1"/>
          <w:numId w:val="2"/>
        </w:numPr>
        <w:spacing w:line="240" w:lineRule="auto"/>
        <w:jc w:val="left"/>
        <w:rPr>
          <w:rFonts w:asciiTheme="majorHAnsi" w:hAnsiTheme="majorHAnsi" w:cstheme="majorHAnsi"/>
          <w:i/>
          <w:iCs/>
        </w:rPr>
      </w:pPr>
      <w:r>
        <w:rPr>
          <w:rFonts w:asciiTheme="majorHAnsi" w:hAnsiTheme="majorHAnsi" w:cstheme="majorHAnsi"/>
          <w:i/>
          <w:iCs/>
        </w:rPr>
        <w:t>changing the interest rate;</w:t>
      </w:r>
    </w:p>
    <w:p w14:paraId="30640EE3" w14:textId="6C35A9B4" w:rsidR="002968A9" w:rsidRPr="00FC22E9" w:rsidRDefault="002968A9" w:rsidP="00FC22E9">
      <w:pPr>
        <w:pStyle w:val="ListParagraph"/>
        <w:numPr>
          <w:ilvl w:val="1"/>
          <w:numId w:val="2"/>
        </w:numPr>
        <w:spacing w:line="240" w:lineRule="auto"/>
        <w:jc w:val="left"/>
        <w:rPr>
          <w:rFonts w:asciiTheme="majorHAnsi" w:hAnsiTheme="majorHAnsi" w:cstheme="majorHAnsi"/>
          <w:i/>
          <w:iCs/>
        </w:rPr>
      </w:pPr>
      <w:r w:rsidRPr="00FC22E9">
        <w:rPr>
          <w:rFonts w:asciiTheme="majorHAnsi" w:hAnsiTheme="majorHAnsi" w:cstheme="majorHAnsi"/>
          <w:i/>
          <w:iCs/>
        </w:rPr>
        <w:t>offering a payment holiday;</w:t>
      </w:r>
    </w:p>
    <w:p w14:paraId="259365BA" w14:textId="0E3319C0" w:rsidR="002968A9" w:rsidRDefault="002968A9" w:rsidP="002968A9">
      <w:pPr>
        <w:pStyle w:val="ListParagraph"/>
        <w:numPr>
          <w:ilvl w:val="1"/>
          <w:numId w:val="2"/>
        </w:numPr>
        <w:spacing w:line="240" w:lineRule="auto"/>
        <w:jc w:val="left"/>
        <w:rPr>
          <w:rFonts w:asciiTheme="majorHAnsi" w:hAnsiTheme="majorHAnsi" w:cstheme="majorHAnsi"/>
          <w:i/>
          <w:iCs/>
        </w:rPr>
      </w:pPr>
      <w:r>
        <w:rPr>
          <w:rFonts w:asciiTheme="majorHAnsi" w:hAnsiTheme="majorHAnsi" w:cstheme="majorHAnsi"/>
          <w:i/>
          <w:iCs/>
        </w:rPr>
        <w:t>partial repayments;</w:t>
      </w:r>
    </w:p>
    <w:p w14:paraId="0A107E88" w14:textId="596F9737" w:rsidR="007F042E" w:rsidRDefault="002968A9" w:rsidP="007F042E">
      <w:pPr>
        <w:pStyle w:val="ListParagraph"/>
        <w:numPr>
          <w:ilvl w:val="1"/>
          <w:numId w:val="2"/>
        </w:numPr>
        <w:spacing w:line="240" w:lineRule="auto"/>
        <w:jc w:val="left"/>
        <w:rPr>
          <w:rFonts w:asciiTheme="majorHAnsi" w:hAnsiTheme="majorHAnsi" w:cstheme="majorHAnsi"/>
          <w:i/>
          <w:iCs/>
        </w:rPr>
      </w:pPr>
      <w:r>
        <w:rPr>
          <w:rFonts w:asciiTheme="majorHAnsi" w:hAnsiTheme="majorHAnsi" w:cstheme="majorHAnsi"/>
          <w:i/>
          <w:iCs/>
        </w:rPr>
        <w:t>currency conversions;</w:t>
      </w:r>
    </w:p>
    <w:p w14:paraId="33495D86" w14:textId="3EE8F51F" w:rsidR="002968A9" w:rsidRPr="007F042E" w:rsidRDefault="006D006D" w:rsidP="007F042E">
      <w:pPr>
        <w:pStyle w:val="ListParagraph"/>
        <w:numPr>
          <w:ilvl w:val="1"/>
          <w:numId w:val="2"/>
        </w:numPr>
        <w:spacing w:line="240" w:lineRule="auto"/>
        <w:jc w:val="left"/>
        <w:rPr>
          <w:rFonts w:asciiTheme="majorHAnsi" w:hAnsiTheme="majorHAnsi" w:cstheme="majorHAnsi"/>
          <w:i/>
          <w:iCs/>
        </w:rPr>
      </w:pPr>
      <w:r w:rsidRPr="007F042E">
        <w:rPr>
          <w:rFonts w:asciiTheme="majorHAnsi" w:hAnsiTheme="majorHAnsi" w:cstheme="majorHAnsi"/>
          <w:i/>
          <w:iCs/>
        </w:rPr>
        <w:t>partial forgiveness and debt consolidation</w:t>
      </w:r>
    </w:p>
    <w:p w14:paraId="5562D76A" w14:textId="77777777" w:rsidR="007D7E21" w:rsidRDefault="007D7E21" w:rsidP="007D7E21">
      <w:pPr>
        <w:pStyle w:val="ListParagraph"/>
        <w:spacing w:line="240" w:lineRule="auto"/>
        <w:ind w:left="1494"/>
        <w:jc w:val="left"/>
        <w:rPr>
          <w:rFonts w:asciiTheme="majorHAnsi" w:hAnsiTheme="majorHAnsi" w:cstheme="majorHAnsi"/>
          <w:i/>
          <w:iCs/>
        </w:rPr>
      </w:pPr>
    </w:p>
    <w:p w14:paraId="52F7725E" w14:textId="77777777" w:rsidR="00B571C0" w:rsidRPr="00BE4D5F" w:rsidRDefault="00B571C0" w:rsidP="00AF6BF5">
      <w:pPr>
        <w:spacing w:after="40" w:line="240" w:lineRule="auto"/>
        <w:jc w:val="left"/>
        <w:rPr>
          <w:rFonts w:asciiTheme="majorHAnsi" w:hAnsiTheme="majorHAnsi" w:cstheme="majorHAnsi"/>
        </w:rPr>
      </w:pPr>
      <w:r w:rsidRPr="00BE4D5F">
        <w:rPr>
          <w:rFonts w:asciiTheme="majorHAnsi" w:hAnsiTheme="majorHAnsi" w:cstheme="majorHAnsi"/>
        </w:rPr>
        <w:t>The Land and Conveyancing (Amendment) Act 2019 (the “Boxer Moran” Act) introduced the</w:t>
      </w:r>
    </w:p>
    <w:p w14:paraId="54D9B13A" w14:textId="3EBF9252" w:rsidR="00B571C0" w:rsidRPr="00BE4D5F" w:rsidRDefault="00B571C0" w:rsidP="00AF6BF5">
      <w:pPr>
        <w:spacing w:after="40" w:line="240" w:lineRule="auto"/>
        <w:jc w:val="left"/>
        <w:rPr>
          <w:rFonts w:asciiTheme="majorHAnsi" w:hAnsiTheme="majorHAnsi" w:cstheme="majorHAnsi"/>
        </w:rPr>
      </w:pPr>
      <w:r w:rsidRPr="00BE4D5F">
        <w:rPr>
          <w:rFonts w:asciiTheme="majorHAnsi" w:hAnsiTheme="majorHAnsi" w:cstheme="majorHAnsi"/>
        </w:rPr>
        <w:t>yardstick of “proportionality” into the court’s “repossession” jurisprudence. It also required the</w:t>
      </w:r>
      <w:r w:rsidR="00610776">
        <w:rPr>
          <w:rFonts w:asciiTheme="majorHAnsi" w:hAnsiTheme="majorHAnsi" w:cstheme="majorHAnsi"/>
        </w:rPr>
        <w:t xml:space="preserve"> </w:t>
      </w:r>
      <w:r w:rsidRPr="00BE4D5F">
        <w:rPr>
          <w:rFonts w:asciiTheme="majorHAnsi" w:hAnsiTheme="majorHAnsi" w:cstheme="majorHAnsi"/>
        </w:rPr>
        <w:t xml:space="preserve">court to weigh a </w:t>
      </w:r>
      <w:r>
        <w:rPr>
          <w:rFonts w:asciiTheme="majorHAnsi" w:hAnsiTheme="majorHAnsi" w:cstheme="majorHAnsi"/>
        </w:rPr>
        <w:t>D</w:t>
      </w:r>
      <w:r w:rsidRPr="00BE4D5F">
        <w:rPr>
          <w:rFonts w:asciiTheme="majorHAnsi" w:hAnsiTheme="majorHAnsi" w:cstheme="majorHAnsi"/>
        </w:rPr>
        <w:t>efendant’s counterproposals. Building on the Act, and at the request of “Dublin</w:t>
      </w:r>
    </w:p>
    <w:p w14:paraId="21B3215A" w14:textId="77777777" w:rsidR="00610776" w:rsidRDefault="00B571C0" w:rsidP="00AF6BF5">
      <w:pPr>
        <w:spacing w:after="40" w:line="240" w:lineRule="auto"/>
        <w:jc w:val="left"/>
        <w:rPr>
          <w:rFonts w:asciiTheme="majorHAnsi" w:hAnsiTheme="majorHAnsi" w:cstheme="majorHAnsi"/>
        </w:rPr>
      </w:pPr>
      <w:r w:rsidRPr="00BE4D5F">
        <w:rPr>
          <w:rFonts w:asciiTheme="majorHAnsi" w:hAnsiTheme="majorHAnsi" w:cstheme="majorHAnsi"/>
        </w:rPr>
        <w:t>Gazette</w:t>
      </w:r>
      <w:r>
        <w:rPr>
          <w:rFonts w:asciiTheme="majorHAnsi" w:hAnsiTheme="majorHAnsi" w:cstheme="majorHAnsi"/>
        </w:rPr>
        <w:t>,</w:t>
      </w:r>
      <w:r w:rsidRPr="00BE4D5F">
        <w:rPr>
          <w:rFonts w:asciiTheme="majorHAnsi" w:hAnsiTheme="majorHAnsi" w:cstheme="majorHAnsi"/>
        </w:rPr>
        <w:t>” in December 2019</w:t>
      </w:r>
      <w:r>
        <w:rPr>
          <w:rFonts w:asciiTheme="majorHAnsi" w:hAnsiTheme="majorHAnsi" w:cstheme="majorHAnsi"/>
        </w:rPr>
        <w:t>,</w:t>
      </w:r>
      <w:r w:rsidRPr="00BE4D5F">
        <w:rPr>
          <w:rFonts w:asciiTheme="majorHAnsi" w:hAnsiTheme="majorHAnsi" w:cstheme="majorHAnsi"/>
        </w:rPr>
        <w:t xml:space="preserve"> I put together some model alternatives to repossession, each with a</w:t>
      </w:r>
    </w:p>
    <w:p w14:paraId="0D1FF467" w14:textId="70132F0B" w:rsidR="00B571C0" w:rsidRPr="00BE4D5F" w:rsidRDefault="00B571C0" w:rsidP="00AF6BF5">
      <w:pPr>
        <w:spacing w:after="40" w:line="240" w:lineRule="auto"/>
        <w:jc w:val="left"/>
        <w:rPr>
          <w:rFonts w:asciiTheme="majorHAnsi" w:hAnsiTheme="majorHAnsi" w:cstheme="majorHAnsi"/>
        </w:rPr>
      </w:pPr>
      <w:r w:rsidRPr="00BE4D5F">
        <w:rPr>
          <w:rFonts w:asciiTheme="majorHAnsi" w:hAnsiTheme="majorHAnsi" w:cstheme="majorHAnsi"/>
        </w:rPr>
        <w:t>user-friendly acronym, including the “Extended Redemption Option” (ERO); the “Portable Trade</w:t>
      </w:r>
    </w:p>
    <w:p w14:paraId="1DEFC64C" w14:textId="77777777" w:rsidR="00B571C0" w:rsidRPr="00BE4D5F" w:rsidRDefault="00B571C0" w:rsidP="00AF6BF5">
      <w:pPr>
        <w:spacing w:after="40" w:line="240" w:lineRule="auto"/>
        <w:jc w:val="left"/>
        <w:rPr>
          <w:rFonts w:asciiTheme="majorHAnsi" w:hAnsiTheme="majorHAnsi" w:cstheme="majorHAnsi"/>
        </w:rPr>
      </w:pPr>
      <w:r w:rsidRPr="00BE4D5F">
        <w:rPr>
          <w:rFonts w:asciiTheme="majorHAnsi" w:hAnsiTheme="majorHAnsi" w:cstheme="majorHAnsi"/>
        </w:rPr>
        <w:lastRenderedPageBreak/>
        <w:t>Down” (PTD); the “MTR Put Option”; the “Bailout Carried Forward” (BCF); and the “Court Managed</w:t>
      </w:r>
    </w:p>
    <w:p w14:paraId="129711E7" w14:textId="7B24D3D5" w:rsidR="00B571C0" w:rsidRDefault="00B571C0" w:rsidP="00AF6BF5">
      <w:pPr>
        <w:spacing w:after="40" w:line="240" w:lineRule="auto"/>
        <w:jc w:val="left"/>
        <w:rPr>
          <w:rFonts w:asciiTheme="majorHAnsi" w:hAnsiTheme="majorHAnsi" w:cstheme="majorHAnsi"/>
        </w:rPr>
      </w:pPr>
      <w:r w:rsidRPr="00BE4D5F">
        <w:rPr>
          <w:rFonts w:asciiTheme="majorHAnsi" w:hAnsiTheme="majorHAnsi" w:cstheme="majorHAnsi"/>
        </w:rPr>
        <w:t>Receivership” (CMR). (I didn’t charge any fee for this, obviously!)</w:t>
      </w:r>
      <w:r>
        <w:rPr>
          <w:rFonts w:asciiTheme="majorHAnsi" w:hAnsiTheme="majorHAnsi" w:cstheme="majorHAnsi"/>
        </w:rPr>
        <w:t>.</w:t>
      </w:r>
      <w:r w:rsidR="000439DE">
        <w:rPr>
          <w:rFonts w:asciiTheme="majorHAnsi" w:hAnsiTheme="majorHAnsi" w:cstheme="majorHAnsi"/>
        </w:rPr>
        <w:t xml:space="preserve"> </w:t>
      </w:r>
      <w:r w:rsidR="000E0658">
        <w:rPr>
          <w:rFonts w:asciiTheme="majorHAnsi" w:hAnsiTheme="majorHAnsi" w:cstheme="majorHAnsi"/>
        </w:rPr>
        <w:t>(see appendix)</w:t>
      </w:r>
    </w:p>
    <w:p w14:paraId="1D0CF7BD" w14:textId="77777777" w:rsidR="0064458F" w:rsidRDefault="0064458F" w:rsidP="00AF6BF5">
      <w:pPr>
        <w:spacing w:after="40" w:line="240" w:lineRule="auto"/>
        <w:jc w:val="left"/>
        <w:rPr>
          <w:rFonts w:asciiTheme="majorHAnsi" w:hAnsiTheme="majorHAnsi" w:cstheme="majorHAnsi"/>
        </w:rPr>
      </w:pPr>
    </w:p>
    <w:p w14:paraId="3F1D7712" w14:textId="77777777" w:rsidR="0064458F" w:rsidRDefault="0064458F" w:rsidP="00AF6BF5">
      <w:pPr>
        <w:spacing w:after="40" w:line="240" w:lineRule="auto"/>
        <w:jc w:val="left"/>
        <w:rPr>
          <w:rFonts w:asciiTheme="majorHAnsi" w:hAnsiTheme="majorHAnsi" w:cstheme="majorHAnsi"/>
        </w:rPr>
      </w:pPr>
    </w:p>
    <w:p w14:paraId="4F9B8473" w14:textId="1588E09C" w:rsidR="00B571C0" w:rsidRPr="00BE4D5F" w:rsidRDefault="00B571C0" w:rsidP="00AF6BF5">
      <w:pPr>
        <w:spacing w:after="40" w:line="240" w:lineRule="auto"/>
        <w:jc w:val="left"/>
        <w:rPr>
          <w:rFonts w:asciiTheme="majorHAnsi" w:hAnsiTheme="majorHAnsi" w:cstheme="majorHAnsi"/>
        </w:rPr>
      </w:pPr>
      <w:r w:rsidRPr="00BE4D5F">
        <w:rPr>
          <w:rFonts w:asciiTheme="majorHAnsi" w:hAnsiTheme="majorHAnsi" w:cstheme="majorHAnsi"/>
        </w:rPr>
        <w:t>Also active on the side of distressed borrowers, Deputy Michael McGrath, now Minister for Finance,</w:t>
      </w:r>
    </w:p>
    <w:p w14:paraId="1C3517B5" w14:textId="77777777" w:rsidR="00B571C0" w:rsidRPr="00BE4D5F" w:rsidRDefault="00B571C0" w:rsidP="00AF6BF5">
      <w:pPr>
        <w:spacing w:after="40" w:line="240" w:lineRule="auto"/>
        <w:jc w:val="left"/>
        <w:rPr>
          <w:rFonts w:asciiTheme="majorHAnsi" w:hAnsiTheme="majorHAnsi" w:cstheme="majorHAnsi"/>
        </w:rPr>
      </w:pPr>
      <w:r w:rsidRPr="00BE4D5F">
        <w:rPr>
          <w:rFonts w:asciiTheme="majorHAnsi" w:hAnsiTheme="majorHAnsi" w:cstheme="majorHAnsi"/>
        </w:rPr>
        <w:t>introduced the Consumer Protection (Regulation of Credit Servicing Firms) Bill, which was passed in</w:t>
      </w:r>
    </w:p>
    <w:p w14:paraId="3BDB2BC2" w14:textId="169E78C4" w:rsidR="00B571C0" w:rsidRPr="00BE4D5F" w:rsidRDefault="00B571C0" w:rsidP="00AF6BF5">
      <w:pPr>
        <w:spacing w:after="40" w:line="240" w:lineRule="auto"/>
        <w:jc w:val="left"/>
        <w:rPr>
          <w:rFonts w:asciiTheme="majorHAnsi" w:hAnsiTheme="majorHAnsi" w:cstheme="majorHAnsi"/>
        </w:rPr>
      </w:pPr>
      <w:r w:rsidRPr="00BE4D5F">
        <w:rPr>
          <w:rFonts w:asciiTheme="majorHAnsi" w:hAnsiTheme="majorHAnsi" w:cstheme="majorHAnsi"/>
        </w:rPr>
        <w:t>201</w:t>
      </w:r>
      <w:r w:rsidR="00151F00">
        <w:rPr>
          <w:rFonts w:asciiTheme="majorHAnsi" w:hAnsiTheme="majorHAnsi" w:cstheme="majorHAnsi"/>
        </w:rPr>
        <w:t>8</w:t>
      </w:r>
      <w:r w:rsidRPr="00BE4D5F">
        <w:rPr>
          <w:rFonts w:asciiTheme="majorHAnsi" w:hAnsiTheme="majorHAnsi" w:cstheme="majorHAnsi"/>
        </w:rPr>
        <w:t>, and which brought the Central Bank into the dynamic as a watchdog. And now, three years</w:t>
      </w:r>
    </w:p>
    <w:p w14:paraId="622A835F" w14:textId="38097C53" w:rsidR="00B571C0" w:rsidRPr="00BE4D5F" w:rsidRDefault="000439DE" w:rsidP="00AF6BF5">
      <w:pPr>
        <w:spacing w:after="40" w:line="240" w:lineRule="auto"/>
        <w:jc w:val="left"/>
        <w:rPr>
          <w:rFonts w:asciiTheme="majorHAnsi" w:hAnsiTheme="majorHAnsi" w:cstheme="majorHAnsi"/>
        </w:rPr>
      </w:pPr>
      <w:r w:rsidRPr="00BE4D5F">
        <w:rPr>
          <w:rFonts w:asciiTheme="majorHAnsi" w:hAnsiTheme="majorHAnsi" w:cstheme="majorHAnsi"/>
        </w:rPr>
        <w:t>L</w:t>
      </w:r>
      <w:r w:rsidR="00B571C0" w:rsidRPr="00BE4D5F">
        <w:rPr>
          <w:rFonts w:asciiTheme="majorHAnsi" w:hAnsiTheme="majorHAnsi" w:cstheme="majorHAnsi"/>
        </w:rPr>
        <w:t>ater</w:t>
      </w:r>
      <w:r>
        <w:rPr>
          <w:rFonts w:asciiTheme="majorHAnsi" w:hAnsiTheme="majorHAnsi" w:cstheme="majorHAnsi"/>
        </w:rPr>
        <w:t>,</w:t>
      </w:r>
      <w:r w:rsidR="00B571C0" w:rsidRPr="00BE4D5F">
        <w:rPr>
          <w:rFonts w:asciiTheme="majorHAnsi" w:hAnsiTheme="majorHAnsi" w:cstheme="majorHAnsi"/>
        </w:rPr>
        <w:t xml:space="preserve"> we have the EU’s Europe wide Directive, (2167</w:t>
      </w:r>
      <w:r w:rsidR="007D7E21">
        <w:rPr>
          <w:rFonts w:asciiTheme="majorHAnsi" w:hAnsiTheme="majorHAnsi" w:cstheme="majorHAnsi"/>
        </w:rPr>
        <w:t xml:space="preserve"> </w:t>
      </w:r>
      <w:r w:rsidR="00B571C0" w:rsidRPr="00BE4D5F">
        <w:rPr>
          <w:rFonts w:asciiTheme="majorHAnsi" w:hAnsiTheme="majorHAnsi" w:cstheme="majorHAnsi"/>
        </w:rPr>
        <w:t>of</w:t>
      </w:r>
      <w:r w:rsidR="007D7E21">
        <w:rPr>
          <w:rFonts w:asciiTheme="majorHAnsi" w:hAnsiTheme="majorHAnsi" w:cstheme="majorHAnsi"/>
        </w:rPr>
        <w:t xml:space="preserve"> </w:t>
      </w:r>
      <w:r w:rsidR="00B571C0" w:rsidRPr="00BE4D5F">
        <w:rPr>
          <w:rFonts w:asciiTheme="majorHAnsi" w:hAnsiTheme="majorHAnsi" w:cstheme="majorHAnsi"/>
        </w:rPr>
        <w:t>202</w:t>
      </w:r>
      <w:r w:rsidR="007D7E21">
        <w:rPr>
          <w:rFonts w:asciiTheme="majorHAnsi" w:hAnsiTheme="majorHAnsi" w:cstheme="majorHAnsi"/>
        </w:rPr>
        <w:t>1</w:t>
      </w:r>
      <w:r w:rsidR="00B571C0" w:rsidRPr="00BE4D5F">
        <w:rPr>
          <w:rFonts w:asciiTheme="majorHAnsi" w:hAnsiTheme="majorHAnsi" w:cstheme="majorHAnsi"/>
        </w:rPr>
        <w:t>), underpinning and reinforcing that</w:t>
      </w:r>
    </w:p>
    <w:p w14:paraId="13FEC1CF" w14:textId="77777777" w:rsidR="00B571C0" w:rsidRPr="00BE4D5F" w:rsidRDefault="00B571C0" w:rsidP="00AF6BF5">
      <w:pPr>
        <w:spacing w:after="40" w:line="240" w:lineRule="auto"/>
        <w:jc w:val="left"/>
        <w:rPr>
          <w:rFonts w:asciiTheme="majorHAnsi" w:hAnsiTheme="majorHAnsi" w:cstheme="majorHAnsi"/>
        </w:rPr>
      </w:pPr>
      <w:r w:rsidRPr="00BE4D5F">
        <w:rPr>
          <w:rFonts w:asciiTheme="majorHAnsi" w:hAnsiTheme="majorHAnsi" w:cstheme="majorHAnsi"/>
        </w:rPr>
        <w:t>regulatory objective and extending regulation to so-called credit “purchasers”, shadow bank entities</w:t>
      </w:r>
    </w:p>
    <w:p w14:paraId="2F5DE410" w14:textId="77777777" w:rsidR="00B571C0" w:rsidRPr="00BE4D5F" w:rsidRDefault="00B571C0" w:rsidP="00AF6BF5">
      <w:pPr>
        <w:spacing w:after="40" w:line="240" w:lineRule="auto"/>
        <w:jc w:val="left"/>
        <w:rPr>
          <w:rFonts w:asciiTheme="majorHAnsi" w:hAnsiTheme="majorHAnsi" w:cstheme="majorHAnsi"/>
        </w:rPr>
      </w:pPr>
      <w:r w:rsidRPr="00BE4D5F">
        <w:rPr>
          <w:rFonts w:asciiTheme="majorHAnsi" w:hAnsiTheme="majorHAnsi" w:cstheme="majorHAnsi"/>
        </w:rPr>
        <w:t>which have bought the loan portfolios of the retail bank “loan originators”. In turn, these entities,</w:t>
      </w:r>
    </w:p>
    <w:p w14:paraId="400306B0" w14:textId="77777777" w:rsidR="00B571C0" w:rsidRPr="00BE4D5F" w:rsidRDefault="00B571C0" w:rsidP="00AF6BF5">
      <w:pPr>
        <w:spacing w:after="40" w:line="240" w:lineRule="auto"/>
        <w:jc w:val="left"/>
        <w:rPr>
          <w:rFonts w:asciiTheme="majorHAnsi" w:hAnsiTheme="majorHAnsi" w:cstheme="majorHAnsi"/>
        </w:rPr>
      </w:pPr>
      <w:r w:rsidRPr="00BE4D5F">
        <w:rPr>
          <w:rFonts w:asciiTheme="majorHAnsi" w:hAnsiTheme="majorHAnsi" w:cstheme="majorHAnsi"/>
        </w:rPr>
        <w:t>“orphaned” SPVs owned by “charities” (believe it or not), act as intermediaries and float the</w:t>
      </w:r>
    </w:p>
    <w:p w14:paraId="46A71B0A" w14:textId="789E3AC6" w:rsidR="002C4F33" w:rsidRDefault="00B571C0" w:rsidP="00AF6BF5">
      <w:pPr>
        <w:spacing w:after="40" w:line="240" w:lineRule="auto"/>
        <w:jc w:val="left"/>
        <w:rPr>
          <w:rFonts w:asciiTheme="majorHAnsi" w:hAnsiTheme="majorHAnsi" w:cstheme="majorHAnsi"/>
        </w:rPr>
      </w:pPr>
      <w:r w:rsidRPr="00BE4D5F">
        <w:rPr>
          <w:rFonts w:asciiTheme="majorHAnsi" w:hAnsiTheme="majorHAnsi" w:cstheme="majorHAnsi"/>
        </w:rPr>
        <w:t>receivables to RMBS (residential mortgage-backed securities) investors in the capital bond market</w:t>
      </w:r>
      <w:r w:rsidR="00151F00">
        <w:rPr>
          <w:rFonts w:asciiTheme="majorHAnsi" w:hAnsiTheme="majorHAnsi" w:cstheme="majorHAnsi"/>
        </w:rPr>
        <w:t>.</w:t>
      </w:r>
    </w:p>
    <w:p w14:paraId="164E58E2" w14:textId="77777777" w:rsidR="000439DE" w:rsidRDefault="000439DE" w:rsidP="00AF6BF5">
      <w:pPr>
        <w:spacing w:after="40" w:line="240" w:lineRule="auto"/>
        <w:jc w:val="left"/>
        <w:rPr>
          <w:rFonts w:asciiTheme="majorHAnsi" w:hAnsiTheme="majorHAnsi" w:cstheme="majorHAnsi"/>
          <w:b/>
          <w:bCs/>
        </w:rPr>
      </w:pPr>
    </w:p>
    <w:p w14:paraId="4AF6E093" w14:textId="6767DB20" w:rsidR="00F913FC" w:rsidRPr="004B4D8B" w:rsidRDefault="002C4F33" w:rsidP="00AF6BF5">
      <w:pPr>
        <w:spacing w:after="40" w:line="240" w:lineRule="auto"/>
        <w:jc w:val="left"/>
        <w:rPr>
          <w:rFonts w:asciiTheme="majorHAnsi" w:hAnsiTheme="majorHAnsi" w:cstheme="majorHAnsi"/>
          <w:b/>
          <w:bCs/>
          <w:u w:val="single"/>
        </w:rPr>
      </w:pPr>
      <w:r w:rsidRPr="004B4D8B">
        <w:rPr>
          <w:rFonts w:asciiTheme="majorHAnsi" w:hAnsiTheme="majorHAnsi" w:cstheme="majorHAnsi"/>
          <w:b/>
          <w:bCs/>
          <w:u w:val="single"/>
        </w:rPr>
        <w:t xml:space="preserve">From </w:t>
      </w:r>
      <w:r w:rsidR="00087BC0" w:rsidRPr="004B4D8B">
        <w:rPr>
          <w:rFonts w:asciiTheme="majorHAnsi" w:hAnsiTheme="majorHAnsi" w:cstheme="majorHAnsi"/>
          <w:b/>
          <w:bCs/>
          <w:u w:val="single"/>
        </w:rPr>
        <w:t>“</w:t>
      </w:r>
      <w:r w:rsidRPr="004B4D8B">
        <w:rPr>
          <w:rFonts w:asciiTheme="majorHAnsi" w:hAnsiTheme="majorHAnsi" w:cstheme="majorHAnsi"/>
          <w:b/>
          <w:bCs/>
          <w:u w:val="single"/>
        </w:rPr>
        <w:t>encourag</w:t>
      </w:r>
      <w:r w:rsidR="00087BC0" w:rsidRPr="004B4D8B">
        <w:rPr>
          <w:rFonts w:asciiTheme="majorHAnsi" w:hAnsiTheme="majorHAnsi" w:cstheme="majorHAnsi"/>
          <w:b/>
          <w:bCs/>
          <w:u w:val="single"/>
        </w:rPr>
        <w:t>ing</w:t>
      </w:r>
      <w:r w:rsidRPr="004B4D8B">
        <w:rPr>
          <w:rFonts w:asciiTheme="majorHAnsi" w:hAnsiTheme="majorHAnsi" w:cstheme="majorHAnsi"/>
          <w:b/>
          <w:bCs/>
          <w:u w:val="single"/>
        </w:rPr>
        <w:t>…” to “</w:t>
      </w:r>
      <w:r w:rsidR="00087BC0" w:rsidRPr="004B4D8B">
        <w:rPr>
          <w:rFonts w:asciiTheme="majorHAnsi" w:hAnsiTheme="majorHAnsi" w:cstheme="majorHAnsi"/>
          <w:b/>
          <w:bCs/>
          <w:u w:val="single"/>
        </w:rPr>
        <w:t>requiring</w:t>
      </w:r>
      <w:r w:rsidRPr="004B4D8B">
        <w:rPr>
          <w:rFonts w:asciiTheme="majorHAnsi" w:hAnsiTheme="majorHAnsi" w:cstheme="majorHAnsi"/>
          <w:b/>
          <w:bCs/>
          <w:u w:val="single"/>
        </w:rPr>
        <w:t>”</w:t>
      </w:r>
      <w:r w:rsidR="00087BC0" w:rsidRPr="004B4D8B">
        <w:rPr>
          <w:rFonts w:asciiTheme="majorHAnsi" w:hAnsiTheme="majorHAnsi" w:cstheme="majorHAnsi"/>
          <w:b/>
          <w:bCs/>
          <w:u w:val="single"/>
        </w:rPr>
        <w:t xml:space="preserve"> creditors…</w:t>
      </w:r>
      <w:r w:rsidR="000439DE" w:rsidRPr="004B4D8B">
        <w:rPr>
          <w:rFonts w:asciiTheme="majorHAnsi" w:hAnsiTheme="majorHAnsi" w:cstheme="majorHAnsi"/>
          <w:b/>
          <w:bCs/>
          <w:u w:val="single"/>
        </w:rPr>
        <w:t xml:space="preserve"> </w:t>
      </w:r>
    </w:p>
    <w:p w14:paraId="676DA02B" w14:textId="77777777" w:rsidR="000439DE" w:rsidRPr="000439DE" w:rsidRDefault="000439DE" w:rsidP="00AF6BF5">
      <w:pPr>
        <w:spacing w:after="40" w:line="240" w:lineRule="auto"/>
        <w:jc w:val="left"/>
        <w:rPr>
          <w:rFonts w:asciiTheme="majorHAnsi" w:hAnsiTheme="majorHAnsi" w:cstheme="majorHAnsi"/>
          <w:b/>
          <w:bCs/>
        </w:rPr>
      </w:pPr>
    </w:p>
    <w:p w14:paraId="13D56C46" w14:textId="1A37FB66" w:rsidR="002C4F33" w:rsidRDefault="002C4F33" w:rsidP="00AF6BF5">
      <w:pPr>
        <w:spacing w:after="40" w:line="240" w:lineRule="auto"/>
        <w:jc w:val="left"/>
        <w:rPr>
          <w:rFonts w:asciiTheme="majorHAnsi" w:hAnsiTheme="majorHAnsi" w:cstheme="majorHAnsi"/>
          <w:color w:val="FF0000"/>
          <w:u w:val="single"/>
        </w:rPr>
      </w:pPr>
      <w:r w:rsidRPr="002C4F33">
        <w:rPr>
          <w:rFonts w:asciiTheme="majorHAnsi" w:hAnsiTheme="majorHAnsi" w:cstheme="majorHAnsi"/>
        </w:rPr>
        <w:t>Amendments to Directives are big news. Brussels means business on this one, clearly</w:t>
      </w:r>
      <w:r w:rsidRPr="002C4F33">
        <w:rPr>
          <w:rFonts w:asciiTheme="majorHAnsi" w:hAnsiTheme="majorHAnsi" w:cstheme="majorHAnsi"/>
          <w:u w:val="single"/>
        </w:rPr>
        <w:t>.</w:t>
      </w:r>
    </w:p>
    <w:p w14:paraId="164583C7" w14:textId="7C5611AC" w:rsidR="00D54C2D" w:rsidRPr="00D54C2D" w:rsidRDefault="00D54C2D" w:rsidP="00AF6BF5">
      <w:pPr>
        <w:spacing w:after="40" w:line="240" w:lineRule="auto"/>
        <w:jc w:val="left"/>
        <w:rPr>
          <w:rFonts w:asciiTheme="majorHAnsi" w:hAnsiTheme="majorHAnsi" w:cstheme="majorHAnsi"/>
        </w:rPr>
      </w:pPr>
      <w:r w:rsidRPr="00D54C2D">
        <w:rPr>
          <w:rFonts w:asciiTheme="majorHAnsi" w:hAnsiTheme="majorHAnsi" w:cstheme="majorHAnsi"/>
        </w:rPr>
        <w:t>The debt forbearance measure in the original 2014 Directive required Member States to “adopt</w:t>
      </w:r>
    </w:p>
    <w:p w14:paraId="03DD37D2" w14:textId="77777777" w:rsidR="00D54C2D" w:rsidRPr="00D54C2D" w:rsidRDefault="00D54C2D" w:rsidP="00AF6BF5">
      <w:pPr>
        <w:spacing w:after="40" w:line="240" w:lineRule="auto"/>
        <w:jc w:val="left"/>
        <w:rPr>
          <w:rFonts w:asciiTheme="majorHAnsi" w:hAnsiTheme="majorHAnsi" w:cstheme="majorHAnsi"/>
        </w:rPr>
      </w:pPr>
      <w:r w:rsidRPr="00D54C2D">
        <w:rPr>
          <w:rFonts w:asciiTheme="majorHAnsi" w:hAnsiTheme="majorHAnsi" w:cstheme="majorHAnsi"/>
        </w:rPr>
        <w:t xml:space="preserve">measures to </w:t>
      </w:r>
      <w:r w:rsidRPr="002C4F33">
        <w:rPr>
          <w:rFonts w:asciiTheme="majorHAnsi" w:hAnsiTheme="majorHAnsi" w:cstheme="majorHAnsi"/>
          <w:i/>
          <w:iCs/>
        </w:rPr>
        <w:t>encourage</w:t>
      </w:r>
      <w:r w:rsidRPr="00D54C2D">
        <w:rPr>
          <w:rFonts w:asciiTheme="majorHAnsi" w:hAnsiTheme="majorHAnsi" w:cstheme="majorHAnsi"/>
        </w:rPr>
        <w:t xml:space="preserve"> (my emphasis) creditors to exercise reasonable forbearance, etc….” but this</w:t>
      </w:r>
    </w:p>
    <w:p w14:paraId="58B3348D" w14:textId="77777777" w:rsidR="00D54C2D" w:rsidRPr="00D54C2D" w:rsidRDefault="00D54C2D" w:rsidP="00AF6BF5">
      <w:pPr>
        <w:spacing w:after="40" w:line="240" w:lineRule="auto"/>
        <w:jc w:val="left"/>
        <w:rPr>
          <w:rFonts w:asciiTheme="majorHAnsi" w:hAnsiTheme="majorHAnsi" w:cstheme="majorHAnsi"/>
        </w:rPr>
      </w:pPr>
      <w:r w:rsidRPr="00D54C2D">
        <w:rPr>
          <w:rFonts w:asciiTheme="majorHAnsi" w:hAnsiTheme="majorHAnsi" w:cstheme="majorHAnsi"/>
        </w:rPr>
        <w:t xml:space="preserve">has now been firmed up to read “Member States shall </w:t>
      </w:r>
      <w:r w:rsidRPr="002C4F33">
        <w:rPr>
          <w:rFonts w:asciiTheme="majorHAnsi" w:hAnsiTheme="majorHAnsi" w:cstheme="majorHAnsi"/>
          <w:i/>
          <w:iCs/>
        </w:rPr>
        <w:t>require</w:t>
      </w:r>
      <w:r w:rsidRPr="00D54C2D">
        <w:rPr>
          <w:rFonts w:asciiTheme="majorHAnsi" w:hAnsiTheme="majorHAnsi" w:cstheme="majorHAnsi"/>
        </w:rPr>
        <w:t xml:space="preserve"> (my emphasis, again) creditors to</w:t>
      </w:r>
    </w:p>
    <w:p w14:paraId="6DF3E714" w14:textId="77777777" w:rsidR="00D54C2D" w:rsidRPr="00D54C2D" w:rsidRDefault="00D54C2D" w:rsidP="00AF6BF5">
      <w:pPr>
        <w:spacing w:after="40" w:line="240" w:lineRule="auto"/>
        <w:jc w:val="left"/>
        <w:rPr>
          <w:rFonts w:asciiTheme="majorHAnsi" w:hAnsiTheme="majorHAnsi" w:cstheme="majorHAnsi"/>
        </w:rPr>
      </w:pPr>
      <w:r w:rsidRPr="00D54C2D">
        <w:rPr>
          <w:rFonts w:asciiTheme="majorHAnsi" w:hAnsiTheme="majorHAnsi" w:cstheme="majorHAnsi"/>
        </w:rPr>
        <w:t>have adequate policies and procedures so that they make efforts to exercise, where appropriate,</w:t>
      </w:r>
    </w:p>
    <w:p w14:paraId="10666D32" w14:textId="77777777" w:rsidR="00087BC0" w:rsidRDefault="00D54C2D" w:rsidP="00AF6BF5">
      <w:pPr>
        <w:spacing w:after="40" w:line="240" w:lineRule="auto"/>
        <w:jc w:val="left"/>
        <w:rPr>
          <w:rFonts w:asciiTheme="majorHAnsi" w:hAnsiTheme="majorHAnsi" w:cstheme="majorHAnsi"/>
        </w:rPr>
      </w:pPr>
      <w:r w:rsidRPr="00D54C2D">
        <w:rPr>
          <w:rFonts w:asciiTheme="majorHAnsi" w:hAnsiTheme="majorHAnsi" w:cstheme="majorHAnsi"/>
        </w:rPr>
        <w:t>reasonable forbearance before foreclosure proceedings</w:t>
      </w:r>
      <w:r w:rsidR="00087BC0" w:rsidRPr="00087BC0">
        <w:rPr>
          <w:rFonts w:asciiTheme="majorHAnsi" w:hAnsiTheme="majorHAnsi" w:cstheme="majorHAnsi"/>
        </w:rPr>
        <w:t xml:space="preserve"> </w:t>
      </w:r>
      <w:proofErr w:type="gramStart"/>
      <w:r w:rsidRPr="00087BC0">
        <w:rPr>
          <w:rFonts w:asciiTheme="majorHAnsi" w:hAnsiTheme="majorHAnsi" w:cstheme="majorHAnsi"/>
        </w:rPr>
        <w:t>are</w:t>
      </w:r>
      <w:proofErr w:type="gramEnd"/>
      <w:r w:rsidR="00087BC0">
        <w:rPr>
          <w:rFonts w:asciiTheme="majorHAnsi" w:hAnsiTheme="majorHAnsi" w:cstheme="majorHAnsi"/>
        </w:rPr>
        <w:t xml:space="preserve"> </w:t>
      </w:r>
      <w:r w:rsidRPr="00D54C2D">
        <w:rPr>
          <w:rFonts w:asciiTheme="majorHAnsi" w:hAnsiTheme="majorHAnsi" w:cstheme="majorHAnsi"/>
        </w:rPr>
        <w:t xml:space="preserve">initiated.” </w:t>
      </w:r>
    </w:p>
    <w:p w14:paraId="45A82497" w14:textId="77777777" w:rsidR="00087BC0" w:rsidRDefault="00087BC0" w:rsidP="00AF6BF5">
      <w:pPr>
        <w:spacing w:after="40" w:line="240" w:lineRule="auto"/>
        <w:jc w:val="left"/>
        <w:rPr>
          <w:rFonts w:asciiTheme="majorHAnsi" w:hAnsiTheme="majorHAnsi" w:cstheme="majorHAnsi"/>
        </w:rPr>
      </w:pPr>
    </w:p>
    <w:p w14:paraId="40F4CCA6" w14:textId="4477DEB8" w:rsidR="00D54C2D" w:rsidRPr="00D54C2D" w:rsidRDefault="00D54C2D" w:rsidP="00AF6BF5">
      <w:pPr>
        <w:spacing w:after="40" w:line="240" w:lineRule="auto"/>
        <w:jc w:val="left"/>
        <w:rPr>
          <w:rFonts w:asciiTheme="majorHAnsi" w:hAnsiTheme="majorHAnsi" w:cstheme="majorHAnsi"/>
        </w:rPr>
      </w:pPr>
      <w:r w:rsidRPr="00D54C2D">
        <w:rPr>
          <w:rFonts w:asciiTheme="majorHAnsi" w:hAnsiTheme="majorHAnsi" w:cstheme="majorHAnsi"/>
        </w:rPr>
        <w:t>Perhaps I should also have added emphasis to the word “before” in the provision quoted above.</w:t>
      </w:r>
    </w:p>
    <w:p w14:paraId="6BE44724" w14:textId="77777777" w:rsidR="00087BC0" w:rsidRDefault="00D54C2D" w:rsidP="00AF6BF5">
      <w:pPr>
        <w:spacing w:after="40" w:line="240" w:lineRule="auto"/>
        <w:jc w:val="left"/>
        <w:rPr>
          <w:rFonts w:asciiTheme="majorHAnsi" w:hAnsiTheme="majorHAnsi" w:cstheme="majorHAnsi"/>
        </w:rPr>
      </w:pPr>
      <w:r w:rsidRPr="00D54C2D">
        <w:rPr>
          <w:rFonts w:asciiTheme="majorHAnsi" w:hAnsiTheme="majorHAnsi" w:cstheme="majorHAnsi"/>
        </w:rPr>
        <w:t xml:space="preserve">Creditors now have to press the “pause” button on court action. </w:t>
      </w:r>
    </w:p>
    <w:p w14:paraId="0C514094" w14:textId="77777777" w:rsidR="00224CD9" w:rsidRDefault="00224CD9" w:rsidP="00AF6BF5">
      <w:pPr>
        <w:spacing w:after="40" w:line="240" w:lineRule="auto"/>
        <w:jc w:val="left"/>
        <w:rPr>
          <w:rFonts w:asciiTheme="majorHAnsi" w:hAnsiTheme="majorHAnsi" w:cstheme="majorHAnsi"/>
        </w:rPr>
      </w:pPr>
    </w:p>
    <w:p w14:paraId="4F015D49" w14:textId="2B558EBA" w:rsidR="00D54C2D" w:rsidRPr="00D54C2D" w:rsidRDefault="00D54C2D" w:rsidP="00AF6BF5">
      <w:pPr>
        <w:spacing w:after="40" w:line="240" w:lineRule="auto"/>
        <w:jc w:val="left"/>
        <w:rPr>
          <w:rFonts w:asciiTheme="majorHAnsi" w:hAnsiTheme="majorHAnsi" w:cstheme="majorHAnsi"/>
        </w:rPr>
      </w:pPr>
      <w:r w:rsidRPr="00D54C2D">
        <w:rPr>
          <w:rFonts w:asciiTheme="majorHAnsi" w:hAnsiTheme="majorHAnsi" w:cstheme="majorHAnsi"/>
        </w:rPr>
        <w:t xml:space="preserve">Clearly, </w:t>
      </w:r>
      <w:r w:rsidRPr="00F913FC">
        <w:rPr>
          <w:rFonts w:asciiTheme="majorHAnsi" w:hAnsiTheme="majorHAnsi" w:cstheme="majorHAnsi"/>
        </w:rPr>
        <w:t>the new moratorium</w:t>
      </w:r>
      <w:r w:rsidRPr="00D54C2D">
        <w:rPr>
          <w:rFonts w:asciiTheme="majorHAnsi" w:hAnsiTheme="majorHAnsi" w:cstheme="majorHAnsi"/>
        </w:rPr>
        <w:t xml:space="preserve"> is not</w:t>
      </w:r>
      <w:r w:rsidR="00087BC0">
        <w:rPr>
          <w:rFonts w:asciiTheme="majorHAnsi" w:hAnsiTheme="majorHAnsi" w:cstheme="majorHAnsi"/>
        </w:rPr>
        <w:t xml:space="preserve"> </w:t>
      </w:r>
      <w:r w:rsidRPr="00D54C2D">
        <w:rPr>
          <w:rFonts w:asciiTheme="majorHAnsi" w:hAnsiTheme="majorHAnsi" w:cstheme="majorHAnsi"/>
        </w:rPr>
        <w:t>open-ended, but neither is it time limited. The court will decline to entertain any “foreclosure”</w:t>
      </w:r>
      <w:r w:rsidR="00087BC0">
        <w:rPr>
          <w:rFonts w:asciiTheme="majorHAnsi" w:hAnsiTheme="majorHAnsi" w:cstheme="majorHAnsi"/>
        </w:rPr>
        <w:t xml:space="preserve"> </w:t>
      </w:r>
      <w:r w:rsidRPr="00D54C2D">
        <w:rPr>
          <w:rFonts w:asciiTheme="majorHAnsi" w:hAnsiTheme="majorHAnsi" w:cstheme="majorHAnsi"/>
        </w:rPr>
        <w:t>(collateral recovery</w:t>
      </w:r>
      <w:proofErr w:type="gramStart"/>
      <w:r w:rsidRPr="00D54C2D">
        <w:rPr>
          <w:rFonts w:asciiTheme="majorHAnsi" w:hAnsiTheme="majorHAnsi" w:cstheme="majorHAnsi"/>
        </w:rPr>
        <w:t>/”repossession</w:t>
      </w:r>
      <w:proofErr w:type="gramEnd"/>
      <w:r w:rsidRPr="00D54C2D">
        <w:rPr>
          <w:rFonts w:asciiTheme="majorHAnsi" w:hAnsiTheme="majorHAnsi" w:cstheme="majorHAnsi"/>
        </w:rPr>
        <w:t>”) claim unless it is satisfied that the</w:t>
      </w:r>
      <w:r w:rsidR="00087BC0">
        <w:rPr>
          <w:rFonts w:asciiTheme="majorHAnsi" w:hAnsiTheme="majorHAnsi" w:cstheme="majorHAnsi"/>
        </w:rPr>
        <w:t xml:space="preserve"> </w:t>
      </w:r>
      <w:r w:rsidRPr="00D54C2D">
        <w:rPr>
          <w:rFonts w:asciiTheme="majorHAnsi" w:hAnsiTheme="majorHAnsi" w:cstheme="majorHAnsi"/>
        </w:rPr>
        <w:t>“efforts” have been</w:t>
      </w:r>
      <w:r w:rsidR="00087BC0">
        <w:rPr>
          <w:rFonts w:asciiTheme="majorHAnsi" w:hAnsiTheme="majorHAnsi" w:cstheme="majorHAnsi"/>
        </w:rPr>
        <w:t xml:space="preserve"> </w:t>
      </w:r>
      <w:r w:rsidRPr="00D54C2D">
        <w:rPr>
          <w:rFonts w:asciiTheme="majorHAnsi" w:hAnsiTheme="majorHAnsi" w:cstheme="majorHAnsi"/>
        </w:rPr>
        <w:t>conducted with due regard firstly, for the EU’s Charter of Fundamental Rights, and</w:t>
      </w:r>
      <w:r w:rsidR="00087BC0">
        <w:rPr>
          <w:rFonts w:asciiTheme="majorHAnsi" w:hAnsiTheme="majorHAnsi" w:cstheme="majorHAnsi"/>
        </w:rPr>
        <w:t xml:space="preserve"> </w:t>
      </w:r>
      <w:r w:rsidRPr="00D54C2D">
        <w:rPr>
          <w:rFonts w:asciiTheme="majorHAnsi" w:hAnsiTheme="majorHAnsi" w:cstheme="majorHAnsi"/>
        </w:rPr>
        <w:t>then also to some,</w:t>
      </w:r>
      <w:r w:rsidR="00087BC0">
        <w:rPr>
          <w:rFonts w:asciiTheme="majorHAnsi" w:hAnsiTheme="majorHAnsi" w:cstheme="majorHAnsi"/>
        </w:rPr>
        <w:t xml:space="preserve"> </w:t>
      </w:r>
      <w:r w:rsidRPr="00D54C2D">
        <w:rPr>
          <w:rFonts w:asciiTheme="majorHAnsi" w:hAnsiTheme="majorHAnsi" w:cstheme="majorHAnsi"/>
        </w:rPr>
        <w:t>if not all, of the loan modification measures (including partial forgiveness) listed in the Directive</w:t>
      </w:r>
      <w:r w:rsidR="00087BC0">
        <w:rPr>
          <w:rFonts w:asciiTheme="majorHAnsi" w:hAnsiTheme="majorHAnsi" w:cstheme="majorHAnsi"/>
        </w:rPr>
        <w:t>.</w:t>
      </w:r>
    </w:p>
    <w:p w14:paraId="4D5C061E" w14:textId="77777777" w:rsidR="00FB5CDC" w:rsidRPr="004B4D8B" w:rsidRDefault="00FB5CDC" w:rsidP="00AF6BF5">
      <w:pPr>
        <w:spacing w:line="240" w:lineRule="auto"/>
        <w:jc w:val="left"/>
        <w:rPr>
          <w:rFonts w:asciiTheme="majorHAnsi" w:hAnsiTheme="majorHAnsi" w:cstheme="majorHAnsi"/>
          <w:u w:val="single"/>
        </w:rPr>
      </w:pPr>
    </w:p>
    <w:p w14:paraId="79532771" w14:textId="6FDEDE09" w:rsidR="00FE6752" w:rsidRPr="004B4D8B" w:rsidRDefault="002E504A" w:rsidP="00AF6BF5">
      <w:pPr>
        <w:spacing w:line="240" w:lineRule="auto"/>
        <w:jc w:val="left"/>
        <w:rPr>
          <w:rFonts w:asciiTheme="majorHAnsi" w:hAnsiTheme="majorHAnsi" w:cstheme="majorHAnsi"/>
          <w:b/>
          <w:bCs/>
          <w:u w:val="single"/>
        </w:rPr>
      </w:pPr>
      <w:r w:rsidRPr="004B4D8B">
        <w:rPr>
          <w:rFonts w:asciiTheme="majorHAnsi" w:hAnsiTheme="majorHAnsi" w:cstheme="majorHAnsi"/>
          <w:b/>
          <w:bCs/>
          <w:u w:val="single"/>
        </w:rPr>
        <w:t>Credit Servicers</w:t>
      </w:r>
    </w:p>
    <w:p w14:paraId="692798DF" w14:textId="1356B47A" w:rsidR="00FE6752" w:rsidRPr="00925D7A" w:rsidRDefault="00FE6752" w:rsidP="00AF6BF5">
      <w:pPr>
        <w:spacing w:line="240" w:lineRule="auto"/>
        <w:jc w:val="left"/>
        <w:rPr>
          <w:rFonts w:asciiTheme="majorHAnsi" w:hAnsiTheme="majorHAnsi" w:cstheme="majorHAnsi"/>
        </w:rPr>
      </w:pPr>
      <w:r w:rsidRPr="00925D7A">
        <w:rPr>
          <w:rFonts w:asciiTheme="majorHAnsi" w:hAnsiTheme="majorHAnsi" w:cstheme="majorHAnsi"/>
        </w:rPr>
        <w:t>Some of you will recall that in the past housing loans were secured by the borrower handing the title to the house to the lender, retaining the right to redeem by repayment. But in 2009 we streamlined that business by substituting a legal charge on the house in place of the old mortgage though, confusingly, retaining the terminology</w:t>
      </w:r>
      <w:r w:rsidR="0076274A">
        <w:rPr>
          <w:rFonts w:asciiTheme="majorHAnsi" w:hAnsiTheme="majorHAnsi" w:cstheme="majorHAnsi"/>
        </w:rPr>
        <w:t xml:space="preserve">. </w:t>
      </w:r>
      <w:r w:rsidRPr="00925D7A">
        <w:rPr>
          <w:rFonts w:asciiTheme="majorHAnsi" w:hAnsiTheme="majorHAnsi" w:cstheme="majorHAnsi"/>
        </w:rPr>
        <w:t>The borrower’s title was then subject to the lender’s charge but he remained the legal owner.</w:t>
      </w:r>
    </w:p>
    <w:p w14:paraId="72F36CAE" w14:textId="42EA135D" w:rsidR="00FB5CDC" w:rsidRDefault="00FE6752" w:rsidP="00AF6BF5">
      <w:pPr>
        <w:spacing w:line="240" w:lineRule="auto"/>
        <w:jc w:val="left"/>
        <w:rPr>
          <w:rFonts w:asciiTheme="majorHAnsi" w:hAnsiTheme="majorHAnsi" w:cstheme="majorHAnsi"/>
          <w:i/>
          <w:iCs/>
        </w:rPr>
      </w:pPr>
      <w:r w:rsidRPr="00925D7A">
        <w:rPr>
          <w:rFonts w:asciiTheme="majorHAnsi" w:hAnsiTheme="majorHAnsi" w:cstheme="majorHAnsi"/>
        </w:rPr>
        <w:t>But then came a revolution in banking. Lenders started to fund the consumer loans by themselves borrowing</w:t>
      </w:r>
      <w:r w:rsidR="005F6BE7" w:rsidRPr="00925D7A">
        <w:rPr>
          <w:rFonts w:asciiTheme="majorHAnsi" w:hAnsiTheme="majorHAnsi" w:cstheme="majorHAnsi"/>
        </w:rPr>
        <w:t xml:space="preserve"> “</w:t>
      </w:r>
      <w:r w:rsidR="005F6BE7" w:rsidRPr="00BE4D5F">
        <w:rPr>
          <w:rFonts w:asciiTheme="majorHAnsi" w:hAnsiTheme="majorHAnsi" w:cstheme="majorHAnsi"/>
          <w:i/>
          <w:iCs/>
        </w:rPr>
        <w:t>securitising”</w:t>
      </w:r>
      <w:r w:rsidR="005F6BE7" w:rsidRPr="00925D7A">
        <w:rPr>
          <w:rFonts w:asciiTheme="majorHAnsi" w:hAnsiTheme="majorHAnsi" w:cstheme="majorHAnsi"/>
        </w:rPr>
        <w:t xml:space="preserve"> from the capital markets. In turn, these funds regularly remortgaged their portfolio of loans raising further capital by “leveraging” from the capital markets and collaterali</w:t>
      </w:r>
      <w:r w:rsidR="00E30FD9">
        <w:rPr>
          <w:rFonts w:asciiTheme="majorHAnsi" w:hAnsiTheme="majorHAnsi" w:cstheme="majorHAnsi"/>
        </w:rPr>
        <w:t>s</w:t>
      </w:r>
      <w:r w:rsidR="005F6BE7" w:rsidRPr="00925D7A">
        <w:rPr>
          <w:rFonts w:asciiTheme="majorHAnsi" w:hAnsiTheme="majorHAnsi" w:cstheme="majorHAnsi"/>
        </w:rPr>
        <w:t xml:space="preserve">ing these funds by the </w:t>
      </w:r>
      <w:proofErr w:type="gramStart"/>
      <w:r w:rsidR="005F6BE7" w:rsidRPr="00925D7A">
        <w:rPr>
          <w:rFonts w:asciiTheme="majorHAnsi" w:hAnsiTheme="majorHAnsi" w:cstheme="majorHAnsi"/>
        </w:rPr>
        <w:t>old fashioned</w:t>
      </w:r>
      <w:proofErr w:type="gramEnd"/>
      <w:r w:rsidR="005F6BE7" w:rsidRPr="00925D7A">
        <w:rPr>
          <w:rFonts w:asciiTheme="majorHAnsi" w:hAnsiTheme="majorHAnsi" w:cstheme="majorHAnsi"/>
        </w:rPr>
        <w:t xml:space="preserve"> mortgage involving a transfer of title of loans to the capital market funder</w:t>
      </w:r>
      <w:r w:rsidR="00224CD9">
        <w:rPr>
          <w:rFonts w:asciiTheme="majorHAnsi" w:hAnsiTheme="majorHAnsi" w:cstheme="majorHAnsi"/>
        </w:rPr>
        <w:t>.</w:t>
      </w:r>
    </w:p>
    <w:p w14:paraId="60B99E94" w14:textId="44030312" w:rsidR="00D54C2D" w:rsidRPr="00925D7A" w:rsidRDefault="00D54C2D" w:rsidP="00AF6BF5">
      <w:pPr>
        <w:spacing w:line="240" w:lineRule="auto"/>
        <w:jc w:val="left"/>
        <w:rPr>
          <w:rFonts w:asciiTheme="majorHAnsi" w:hAnsiTheme="majorHAnsi" w:cstheme="majorHAnsi"/>
        </w:rPr>
      </w:pPr>
      <w:r w:rsidRPr="00925D7A">
        <w:rPr>
          <w:rFonts w:asciiTheme="majorHAnsi" w:hAnsiTheme="majorHAnsi" w:cstheme="majorHAnsi"/>
        </w:rPr>
        <w:t xml:space="preserve">We have had the term </w:t>
      </w:r>
      <w:r w:rsidRPr="00925D7A">
        <w:rPr>
          <w:rFonts w:asciiTheme="majorHAnsi" w:hAnsiTheme="majorHAnsi" w:cstheme="majorHAnsi"/>
          <w:i/>
          <w:iCs/>
        </w:rPr>
        <w:t>“credit servicer”</w:t>
      </w:r>
      <w:r w:rsidRPr="00925D7A">
        <w:rPr>
          <w:rFonts w:asciiTheme="majorHAnsi" w:hAnsiTheme="majorHAnsi" w:cstheme="majorHAnsi"/>
        </w:rPr>
        <w:t xml:space="preserve"> in legislation for</w:t>
      </w:r>
      <w:r w:rsidR="00224CD9">
        <w:rPr>
          <w:rFonts w:asciiTheme="majorHAnsi" w:hAnsiTheme="majorHAnsi" w:cstheme="majorHAnsi"/>
        </w:rPr>
        <w:t xml:space="preserve"> nearly</w:t>
      </w:r>
      <w:r w:rsidRPr="00925D7A">
        <w:rPr>
          <w:rFonts w:asciiTheme="majorHAnsi" w:hAnsiTheme="majorHAnsi" w:cstheme="majorHAnsi"/>
        </w:rPr>
        <w:t xml:space="preserve"> ten years now, but the term</w:t>
      </w:r>
      <w:r w:rsidRPr="00925D7A">
        <w:rPr>
          <w:rFonts w:asciiTheme="majorHAnsi" w:hAnsiTheme="majorHAnsi" w:cstheme="majorHAnsi"/>
          <w:i/>
          <w:iCs/>
        </w:rPr>
        <w:t xml:space="preserve"> “credit purchaser” </w:t>
      </w:r>
      <w:r w:rsidRPr="00925D7A">
        <w:rPr>
          <w:rFonts w:asciiTheme="majorHAnsi" w:hAnsiTheme="majorHAnsi" w:cstheme="majorHAnsi"/>
        </w:rPr>
        <w:t xml:space="preserve">now appears for the first time (to my knowledge). What many do not realise is that the retail mortgagee who advances the home loan (the </w:t>
      </w:r>
      <w:r w:rsidRPr="00925D7A">
        <w:rPr>
          <w:rFonts w:asciiTheme="majorHAnsi" w:hAnsiTheme="majorHAnsi" w:cstheme="majorHAnsi"/>
          <w:i/>
          <w:iCs/>
        </w:rPr>
        <w:t>“loan originator</w:t>
      </w:r>
      <w:r w:rsidRPr="00925D7A">
        <w:rPr>
          <w:rFonts w:asciiTheme="majorHAnsi" w:hAnsiTheme="majorHAnsi" w:cstheme="majorHAnsi"/>
        </w:rPr>
        <w:t xml:space="preserve">”) holds title to the loan for only </w:t>
      </w:r>
      <w:r w:rsidRPr="00925D7A">
        <w:rPr>
          <w:rFonts w:asciiTheme="majorHAnsi" w:hAnsiTheme="majorHAnsi" w:cstheme="majorHAnsi"/>
        </w:rPr>
        <w:lastRenderedPageBreak/>
        <w:t>as long as it takes him to sell on the credit to an unregulated “</w:t>
      </w:r>
      <w:r w:rsidRPr="00925D7A">
        <w:rPr>
          <w:rFonts w:asciiTheme="majorHAnsi" w:hAnsiTheme="majorHAnsi" w:cstheme="majorHAnsi"/>
          <w:i/>
          <w:iCs/>
        </w:rPr>
        <w:t>credit purchaser”.</w:t>
      </w:r>
      <w:r w:rsidRPr="00925D7A">
        <w:rPr>
          <w:rFonts w:asciiTheme="majorHAnsi" w:hAnsiTheme="majorHAnsi" w:cstheme="majorHAnsi"/>
        </w:rPr>
        <w:t xml:space="preserve"> This is first stage</w:t>
      </w:r>
      <w:proofErr w:type="gramStart"/>
      <w:r w:rsidR="00087BC0">
        <w:rPr>
          <w:rFonts w:asciiTheme="majorHAnsi" w:hAnsiTheme="majorHAnsi" w:cstheme="majorHAnsi"/>
        </w:rPr>
        <w:t xml:space="preserve">, </w:t>
      </w:r>
      <w:r w:rsidRPr="00925D7A">
        <w:rPr>
          <w:rFonts w:asciiTheme="majorHAnsi" w:hAnsiTheme="majorHAnsi" w:cstheme="majorHAnsi"/>
        </w:rPr>
        <w:t>”securitisation</w:t>
      </w:r>
      <w:proofErr w:type="gramEnd"/>
      <w:r w:rsidRPr="00925D7A">
        <w:rPr>
          <w:rFonts w:asciiTheme="majorHAnsi" w:hAnsiTheme="majorHAnsi" w:cstheme="majorHAnsi"/>
        </w:rPr>
        <w:t>”. Sometimes the process of commodification proceeds further, and ownership of the risk and collateral can become fragmented amongst many investors.</w:t>
      </w:r>
    </w:p>
    <w:p w14:paraId="24FDABD2" w14:textId="4299B164" w:rsidR="009B14E0" w:rsidRPr="00925D7A" w:rsidRDefault="00D54C2D" w:rsidP="00AF6BF5">
      <w:pPr>
        <w:spacing w:line="240" w:lineRule="auto"/>
        <w:jc w:val="left"/>
        <w:rPr>
          <w:rFonts w:asciiTheme="majorHAnsi" w:hAnsiTheme="majorHAnsi" w:cstheme="majorHAnsi"/>
        </w:rPr>
      </w:pPr>
      <w:r w:rsidRPr="00925D7A">
        <w:rPr>
          <w:rFonts w:asciiTheme="majorHAnsi" w:hAnsiTheme="majorHAnsi" w:cstheme="majorHAnsi"/>
        </w:rPr>
        <w:t>For this reason</w:t>
      </w:r>
      <w:r w:rsidR="00224CD9">
        <w:rPr>
          <w:rFonts w:asciiTheme="majorHAnsi" w:hAnsiTheme="majorHAnsi" w:cstheme="majorHAnsi"/>
        </w:rPr>
        <w:t>,</w:t>
      </w:r>
      <w:r w:rsidRPr="00925D7A">
        <w:rPr>
          <w:rFonts w:asciiTheme="majorHAnsi" w:hAnsiTheme="majorHAnsi" w:cstheme="majorHAnsi"/>
        </w:rPr>
        <w:t xml:space="preserve"> management and administration of the loan contract of the borrower is contracted out to a credit servicer. And more often than not, it is the loan originator who undertakes this role. (This can cause confusion for the borrower. Seemingly, also sometimes for the loan originator!)</w:t>
      </w:r>
    </w:p>
    <w:p w14:paraId="5EC9D0CB" w14:textId="1D3719BB" w:rsidR="009B14E0" w:rsidRDefault="009B14E0" w:rsidP="00AF6BF5">
      <w:pPr>
        <w:spacing w:line="240" w:lineRule="auto"/>
        <w:jc w:val="left"/>
        <w:rPr>
          <w:rFonts w:asciiTheme="majorHAnsi" w:hAnsiTheme="majorHAnsi" w:cstheme="majorHAnsi"/>
        </w:rPr>
      </w:pPr>
      <w:r w:rsidRPr="00925D7A">
        <w:rPr>
          <w:rFonts w:asciiTheme="majorHAnsi" w:hAnsiTheme="majorHAnsi" w:cstheme="majorHAnsi"/>
        </w:rPr>
        <w:t xml:space="preserve">It’s surely clear that </w:t>
      </w:r>
      <w:r w:rsidRPr="00224CD9">
        <w:rPr>
          <w:rFonts w:asciiTheme="majorHAnsi" w:hAnsiTheme="majorHAnsi" w:cstheme="majorHAnsi"/>
          <w:i/>
          <w:iCs/>
        </w:rPr>
        <w:t>only</w:t>
      </w:r>
      <w:r w:rsidRPr="00925D7A">
        <w:rPr>
          <w:rFonts w:asciiTheme="majorHAnsi" w:hAnsiTheme="majorHAnsi" w:cstheme="majorHAnsi"/>
        </w:rPr>
        <w:t xml:space="preserve"> the party which </w:t>
      </w:r>
      <w:r>
        <w:rPr>
          <w:rFonts w:asciiTheme="majorHAnsi" w:hAnsiTheme="majorHAnsi" w:cstheme="majorHAnsi"/>
        </w:rPr>
        <w:t>i</w:t>
      </w:r>
      <w:r w:rsidRPr="00925D7A">
        <w:rPr>
          <w:rFonts w:asciiTheme="majorHAnsi" w:hAnsiTheme="majorHAnsi" w:cstheme="majorHAnsi"/>
        </w:rPr>
        <w:t xml:space="preserve">s entitled to possession of the house is entitled to seek a possession order. </w:t>
      </w:r>
      <w:r w:rsidRPr="00087BC0">
        <w:rPr>
          <w:rFonts w:asciiTheme="majorHAnsi" w:hAnsiTheme="majorHAnsi" w:cstheme="majorHAnsi"/>
        </w:rPr>
        <w:t>N</w:t>
      </w:r>
      <w:r w:rsidRPr="00F913FC">
        <w:rPr>
          <w:rFonts w:asciiTheme="majorHAnsi" w:hAnsiTheme="majorHAnsi" w:cstheme="majorHAnsi"/>
        </w:rPr>
        <w:t>o one else</w:t>
      </w:r>
      <w:r w:rsidRPr="00925D7A">
        <w:rPr>
          <w:rFonts w:asciiTheme="majorHAnsi" w:hAnsiTheme="majorHAnsi" w:cstheme="majorHAnsi"/>
        </w:rPr>
        <w:t xml:space="preserve">. A recent portfolio sale of Ulster Bank loans was reported as a purchase by AB Carval </w:t>
      </w:r>
      <w:r w:rsidRPr="00925D7A">
        <w:rPr>
          <w:rFonts w:asciiTheme="majorHAnsi" w:hAnsiTheme="majorHAnsi" w:cstheme="majorHAnsi"/>
          <w:i/>
          <w:iCs/>
        </w:rPr>
        <w:t xml:space="preserve">(“through a vehicle called </w:t>
      </w:r>
      <w:proofErr w:type="spellStart"/>
      <w:r w:rsidRPr="00925D7A">
        <w:rPr>
          <w:rFonts w:asciiTheme="majorHAnsi" w:hAnsiTheme="majorHAnsi" w:cstheme="majorHAnsi"/>
          <w:i/>
          <w:iCs/>
        </w:rPr>
        <w:t>Elmscott</w:t>
      </w:r>
      <w:proofErr w:type="spellEnd"/>
      <w:r w:rsidRPr="00925D7A">
        <w:rPr>
          <w:rFonts w:asciiTheme="majorHAnsi" w:hAnsiTheme="majorHAnsi" w:cstheme="majorHAnsi"/>
          <w:i/>
          <w:iCs/>
        </w:rPr>
        <w:t xml:space="preserve"> Property Finance”)</w:t>
      </w:r>
      <w:r w:rsidRPr="00925D7A">
        <w:rPr>
          <w:rFonts w:asciiTheme="majorHAnsi" w:hAnsiTheme="majorHAnsi" w:cstheme="majorHAnsi"/>
        </w:rPr>
        <w:t xml:space="preserve"> and that the new owner </w:t>
      </w:r>
      <w:r w:rsidRPr="00925D7A">
        <w:rPr>
          <w:rFonts w:asciiTheme="majorHAnsi" w:hAnsiTheme="majorHAnsi" w:cstheme="majorHAnsi"/>
          <w:i/>
          <w:iCs/>
        </w:rPr>
        <w:t xml:space="preserve">“has enlisted loan servicing firm Pepper Finance to manage the loans as legal title holders”. </w:t>
      </w:r>
      <w:r w:rsidRPr="00925D7A">
        <w:rPr>
          <w:rFonts w:asciiTheme="majorHAnsi" w:hAnsiTheme="majorHAnsi" w:cstheme="majorHAnsi"/>
        </w:rPr>
        <w:t>(Irish Times 6</w:t>
      </w:r>
      <w:r w:rsidRPr="00925D7A">
        <w:rPr>
          <w:rFonts w:asciiTheme="majorHAnsi" w:hAnsiTheme="majorHAnsi" w:cstheme="majorHAnsi"/>
          <w:vertAlign w:val="superscript"/>
        </w:rPr>
        <w:t>th</w:t>
      </w:r>
      <w:r w:rsidRPr="00925D7A">
        <w:rPr>
          <w:rFonts w:asciiTheme="majorHAnsi" w:hAnsiTheme="majorHAnsi" w:cstheme="majorHAnsi"/>
        </w:rPr>
        <w:t xml:space="preserve"> September).</w:t>
      </w:r>
    </w:p>
    <w:p w14:paraId="5C412D28" w14:textId="0BD8F541" w:rsidR="00F913FC" w:rsidRDefault="009B14E0" w:rsidP="00AF6BF5">
      <w:pPr>
        <w:spacing w:line="240" w:lineRule="auto"/>
        <w:jc w:val="left"/>
        <w:rPr>
          <w:rFonts w:asciiTheme="majorHAnsi" w:hAnsiTheme="majorHAnsi" w:cstheme="majorHAnsi"/>
        </w:rPr>
      </w:pPr>
      <w:r w:rsidRPr="00925D7A">
        <w:rPr>
          <w:rFonts w:asciiTheme="majorHAnsi" w:hAnsiTheme="majorHAnsi" w:cstheme="majorHAnsi"/>
        </w:rPr>
        <w:t xml:space="preserve">You cannot be the </w:t>
      </w:r>
      <w:r w:rsidR="00383542">
        <w:rPr>
          <w:rFonts w:asciiTheme="majorHAnsi" w:hAnsiTheme="majorHAnsi" w:cstheme="majorHAnsi"/>
          <w:i/>
          <w:iCs/>
        </w:rPr>
        <w:t>“</w:t>
      </w:r>
      <w:r w:rsidRPr="00925D7A">
        <w:rPr>
          <w:rFonts w:asciiTheme="majorHAnsi" w:hAnsiTheme="majorHAnsi" w:cstheme="majorHAnsi"/>
          <w:i/>
          <w:iCs/>
        </w:rPr>
        <w:t>legal title</w:t>
      </w:r>
      <w:r w:rsidR="00383542">
        <w:rPr>
          <w:rFonts w:asciiTheme="majorHAnsi" w:hAnsiTheme="majorHAnsi" w:cstheme="majorHAnsi"/>
          <w:i/>
          <w:iCs/>
        </w:rPr>
        <w:t xml:space="preserve"> holder</w:t>
      </w:r>
      <w:r w:rsidRPr="00925D7A">
        <w:rPr>
          <w:rFonts w:asciiTheme="majorHAnsi" w:hAnsiTheme="majorHAnsi" w:cstheme="majorHAnsi"/>
          <w:i/>
          <w:iCs/>
        </w:rPr>
        <w:t>”</w:t>
      </w:r>
      <w:r w:rsidRPr="00925D7A">
        <w:rPr>
          <w:rFonts w:asciiTheme="majorHAnsi" w:hAnsiTheme="majorHAnsi" w:cstheme="majorHAnsi"/>
        </w:rPr>
        <w:t xml:space="preserve"> </w:t>
      </w:r>
      <w:r w:rsidR="00383542">
        <w:rPr>
          <w:rFonts w:asciiTheme="majorHAnsi" w:hAnsiTheme="majorHAnsi" w:cstheme="majorHAnsi"/>
        </w:rPr>
        <w:t xml:space="preserve">of the mortgage charge </w:t>
      </w:r>
      <w:r w:rsidRPr="00925D7A">
        <w:rPr>
          <w:rFonts w:asciiTheme="majorHAnsi" w:hAnsiTheme="majorHAnsi" w:cstheme="majorHAnsi"/>
        </w:rPr>
        <w:t>unless you are the owner</w:t>
      </w:r>
      <w:r w:rsidR="00EE2139">
        <w:rPr>
          <w:rFonts w:asciiTheme="majorHAnsi" w:hAnsiTheme="majorHAnsi" w:cstheme="majorHAnsi"/>
        </w:rPr>
        <w:t>. The credit servicer doesn’t have ownership; it just has a contract for services.</w:t>
      </w:r>
      <w:r>
        <w:rPr>
          <w:rFonts w:asciiTheme="majorHAnsi" w:hAnsiTheme="majorHAnsi" w:cstheme="majorHAnsi"/>
        </w:rPr>
        <w:t xml:space="preserve"> </w:t>
      </w:r>
      <w:r w:rsidR="00EE2139">
        <w:rPr>
          <w:rFonts w:asciiTheme="majorHAnsi" w:hAnsiTheme="majorHAnsi" w:cstheme="majorHAnsi"/>
        </w:rPr>
        <w:t>As loan originator, he was owner</w:t>
      </w:r>
      <w:r w:rsidR="00383542">
        <w:rPr>
          <w:rFonts w:asciiTheme="majorHAnsi" w:hAnsiTheme="majorHAnsi" w:cstheme="majorHAnsi"/>
        </w:rPr>
        <w:t xml:space="preserve"> of the mortgage</w:t>
      </w:r>
      <w:r w:rsidR="00EE2139">
        <w:rPr>
          <w:rFonts w:asciiTheme="majorHAnsi" w:hAnsiTheme="majorHAnsi" w:cstheme="majorHAnsi"/>
        </w:rPr>
        <w:t xml:space="preserve"> once but, after a “true sale” securitisation, did the credit purchaser assign even the legal title back to the servicer? Even an equitable assignment? I can’t find it.</w:t>
      </w:r>
    </w:p>
    <w:p w14:paraId="77435CD6" w14:textId="2D8D081F" w:rsidR="00383542" w:rsidRDefault="00383542" w:rsidP="00AF6BF5">
      <w:pPr>
        <w:spacing w:line="240" w:lineRule="auto"/>
        <w:jc w:val="left"/>
        <w:rPr>
          <w:rFonts w:asciiTheme="majorHAnsi" w:hAnsiTheme="majorHAnsi" w:cstheme="majorHAnsi"/>
        </w:rPr>
      </w:pPr>
      <w:r>
        <w:rPr>
          <w:rFonts w:asciiTheme="majorHAnsi" w:hAnsiTheme="majorHAnsi" w:cstheme="majorHAnsi"/>
        </w:rPr>
        <w:t>A new species of unregistrable burden</w:t>
      </w:r>
      <w:r w:rsidR="00224CD9">
        <w:rPr>
          <w:rFonts w:asciiTheme="majorHAnsi" w:hAnsiTheme="majorHAnsi" w:cstheme="majorHAnsi"/>
        </w:rPr>
        <w:t>?</w:t>
      </w:r>
      <w:r>
        <w:rPr>
          <w:rFonts w:asciiTheme="majorHAnsi" w:hAnsiTheme="majorHAnsi" w:cstheme="majorHAnsi"/>
        </w:rPr>
        <w:t xml:space="preserve"> </w:t>
      </w:r>
      <w:r w:rsidR="00224CD9">
        <w:rPr>
          <w:rFonts w:asciiTheme="majorHAnsi" w:hAnsiTheme="majorHAnsi" w:cstheme="majorHAnsi"/>
        </w:rPr>
        <w:t>An unregistered</w:t>
      </w:r>
      <w:r>
        <w:rPr>
          <w:rFonts w:asciiTheme="majorHAnsi" w:hAnsiTheme="majorHAnsi" w:cstheme="majorHAnsi"/>
        </w:rPr>
        <w:t xml:space="preserve"> burden on a </w:t>
      </w:r>
      <w:r w:rsidR="00224CD9">
        <w:rPr>
          <w:rFonts w:asciiTheme="majorHAnsi" w:hAnsiTheme="majorHAnsi" w:cstheme="majorHAnsi"/>
        </w:rPr>
        <w:t xml:space="preserve">registered </w:t>
      </w:r>
      <w:r>
        <w:rPr>
          <w:rFonts w:asciiTheme="majorHAnsi" w:hAnsiTheme="majorHAnsi" w:cstheme="majorHAnsi"/>
        </w:rPr>
        <w:t xml:space="preserve">burden? How “conclusive”, then, is the </w:t>
      </w:r>
      <w:r w:rsidR="00B82A0C">
        <w:rPr>
          <w:rFonts w:asciiTheme="majorHAnsi" w:hAnsiTheme="majorHAnsi" w:cstheme="majorHAnsi"/>
        </w:rPr>
        <w:t>R</w:t>
      </w:r>
      <w:r>
        <w:rPr>
          <w:rFonts w:asciiTheme="majorHAnsi" w:hAnsiTheme="majorHAnsi" w:cstheme="majorHAnsi"/>
        </w:rPr>
        <w:t>egister? (Lord Denning once complained about what he described as “</w:t>
      </w:r>
      <w:r w:rsidRPr="00E729C3">
        <w:rPr>
          <w:rFonts w:asciiTheme="majorHAnsi" w:hAnsiTheme="majorHAnsi" w:cstheme="majorHAnsi"/>
          <w:i/>
          <w:iCs/>
        </w:rPr>
        <w:t>the welter of registration</w:t>
      </w:r>
      <w:r>
        <w:rPr>
          <w:rFonts w:asciiTheme="majorHAnsi" w:hAnsiTheme="majorHAnsi" w:cstheme="majorHAnsi"/>
        </w:rPr>
        <w:t>”. One can see why)</w:t>
      </w:r>
      <w:r w:rsidR="00B82A0C">
        <w:rPr>
          <w:rFonts w:asciiTheme="majorHAnsi" w:hAnsiTheme="majorHAnsi" w:cstheme="majorHAnsi"/>
        </w:rPr>
        <w:t>.</w:t>
      </w:r>
    </w:p>
    <w:p w14:paraId="56DADA74" w14:textId="3A830C16" w:rsidR="00F913FC" w:rsidRPr="00925D7A" w:rsidRDefault="00EE2139" w:rsidP="00AF6BF5">
      <w:pPr>
        <w:spacing w:line="240" w:lineRule="auto"/>
        <w:jc w:val="left"/>
        <w:rPr>
          <w:rFonts w:asciiTheme="majorHAnsi" w:hAnsiTheme="majorHAnsi" w:cstheme="majorHAnsi"/>
        </w:rPr>
      </w:pPr>
      <w:r>
        <w:rPr>
          <w:rFonts w:asciiTheme="majorHAnsi" w:hAnsiTheme="majorHAnsi" w:cstheme="majorHAnsi"/>
        </w:rPr>
        <w:t xml:space="preserve">Nor is the servicer the </w:t>
      </w:r>
      <w:r w:rsidRPr="00224CD9">
        <w:rPr>
          <w:rFonts w:asciiTheme="majorHAnsi" w:hAnsiTheme="majorHAnsi" w:cstheme="majorHAnsi"/>
          <w:i/>
          <w:iCs/>
        </w:rPr>
        <w:t>beneficial</w:t>
      </w:r>
      <w:r>
        <w:rPr>
          <w:rFonts w:asciiTheme="majorHAnsi" w:hAnsiTheme="majorHAnsi" w:cstheme="majorHAnsi"/>
        </w:rPr>
        <w:t xml:space="preserve"> owner “in due course”. That interest clearly now belongs to the loan note holders joined in the “true sale” purchase of the portfolio.</w:t>
      </w:r>
    </w:p>
    <w:p w14:paraId="01AA705F" w14:textId="5B458D59" w:rsidR="00186D34" w:rsidRDefault="00383542" w:rsidP="00AF6BF5">
      <w:pPr>
        <w:spacing w:line="240" w:lineRule="auto"/>
        <w:jc w:val="left"/>
        <w:rPr>
          <w:rFonts w:asciiTheme="majorHAnsi" w:hAnsiTheme="majorHAnsi" w:cstheme="majorHAnsi"/>
        </w:rPr>
      </w:pPr>
      <w:r>
        <w:rPr>
          <w:rFonts w:asciiTheme="majorHAnsi" w:hAnsiTheme="majorHAnsi" w:cstheme="majorHAnsi"/>
        </w:rPr>
        <w:t>This process of “securitisation” is</w:t>
      </w:r>
      <w:r w:rsidR="009B14E0" w:rsidRPr="00925D7A">
        <w:rPr>
          <w:rFonts w:asciiTheme="majorHAnsi" w:hAnsiTheme="majorHAnsi" w:cstheme="majorHAnsi"/>
        </w:rPr>
        <w:t xml:space="preserve"> certainly confusing, but only when it be</w:t>
      </w:r>
      <w:r>
        <w:rPr>
          <w:rFonts w:asciiTheme="majorHAnsi" w:hAnsiTheme="majorHAnsi" w:cstheme="majorHAnsi"/>
        </w:rPr>
        <w:t>comes</w:t>
      </w:r>
      <w:r w:rsidR="009B14E0" w:rsidRPr="00925D7A">
        <w:rPr>
          <w:rFonts w:asciiTheme="majorHAnsi" w:hAnsiTheme="majorHAnsi" w:cstheme="majorHAnsi"/>
        </w:rPr>
        <w:t xml:space="preserve"> necessary to </w:t>
      </w:r>
      <w:r w:rsidR="009B14E0" w:rsidRPr="00925D7A">
        <w:rPr>
          <w:rFonts w:asciiTheme="majorHAnsi" w:hAnsiTheme="majorHAnsi" w:cstheme="majorHAnsi"/>
          <w:i/>
          <w:iCs/>
        </w:rPr>
        <w:t>“foreclose</w:t>
      </w:r>
      <w:r w:rsidR="009B14E0" w:rsidRPr="00925D7A">
        <w:rPr>
          <w:rFonts w:asciiTheme="majorHAnsi" w:hAnsiTheme="majorHAnsi" w:cstheme="majorHAnsi"/>
        </w:rPr>
        <w:t xml:space="preserve">” the </w:t>
      </w:r>
      <w:r>
        <w:rPr>
          <w:rFonts w:asciiTheme="majorHAnsi" w:hAnsiTheme="majorHAnsi" w:cstheme="majorHAnsi"/>
        </w:rPr>
        <w:t>mortgage (a process known in financial circles as “collateral recovery”</w:t>
      </w:r>
      <w:r w:rsidR="000966EE">
        <w:rPr>
          <w:rFonts w:asciiTheme="majorHAnsi" w:hAnsiTheme="majorHAnsi" w:cstheme="majorHAnsi"/>
        </w:rPr>
        <w:t>).</w:t>
      </w:r>
      <w:r w:rsidR="009B14E0" w:rsidRPr="00925D7A">
        <w:rPr>
          <w:rFonts w:asciiTheme="majorHAnsi" w:hAnsiTheme="majorHAnsi" w:cstheme="majorHAnsi"/>
        </w:rPr>
        <w:t xml:space="preserve"> The party entitled to possession is the party whose capital is at risk. In accountancy terms, on whose balance sheet does the charge appear as an asset? (NB</w:t>
      </w:r>
      <w:r w:rsidR="009B14E0">
        <w:rPr>
          <w:rFonts w:asciiTheme="majorHAnsi" w:hAnsiTheme="majorHAnsi" w:cstheme="majorHAnsi"/>
        </w:rPr>
        <w:t>.</w:t>
      </w:r>
      <w:r w:rsidR="009B14E0" w:rsidRPr="00925D7A">
        <w:rPr>
          <w:rFonts w:asciiTheme="majorHAnsi" w:hAnsiTheme="majorHAnsi" w:cstheme="majorHAnsi"/>
        </w:rPr>
        <w:t xml:space="preserve"> If it</w:t>
      </w:r>
      <w:r w:rsidR="000966EE">
        <w:rPr>
          <w:rFonts w:asciiTheme="majorHAnsi" w:hAnsiTheme="majorHAnsi" w:cstheme="majorHAnsi"/>
        </w:rPr>
        <w:t>’s</w:t>
      </w:r>
      <w:r w:rsidR="009B14E0" w:rsidRPr="00925D7A">
        <w:rPr>
          <w:rFonts w:asciiTheme="majorHAnsi" w:hAnsiTheme="majorHAnsi" w:cstheme="majorHAnsi"/>
        </w:rPr>
        <w:t xml:space="preserve"> on your balance sheet and you’re not the registered owner, you’ve got a problem!</w:t>
      </w:r>
    </w:p>
    <w:p w14:paraId="1BDECE9F" w14:textId="49411FDA" w:rsidR="00567E5C" w:rsidRDefault="00F913FC" w:rsidP="00AF6BF5">
      <w:pPr>
        <w:spacing w:line="240" w:lineRule="auto"/>
        <w:jc w:val="left"/>
        <w:rPr>
          <w:rFonts w:asciiTheme="majorHAnsi" w:hAnsiTheme="majorHAnsi" w:cstheme="majorHAnsi"/>
        </w:rPr>
      </w:pPr>
      <w:r w:rsidRPr="00925D7A">
        <w:rPr>
          <w:rFonts w:asciiTheme="majorHAnsi" w:hAnsiTheme="majorHAnsi" w:cstheme="majorHAnsi"/>
        </w:rPr>
        <w:t>In order, presumably, to expedite prosecution</w:t>
      </w:r>
      <w:r w:rsidR="000966EE">
        <w:rPr>
          <w:rFonts w:asciiTheme="majorHAnsi" w:hAnsiTheme="majorHAnsi" w:cstheme="majorHAnsi"/>
        </w:rPr>
        <w:t>,</w:t>
      </w:r>
      <w:r w:rsidRPr="00925D7A">
        <w:rPr>
          <w:rFonts w:asciiTheme="majorHAnsi" w:hAnsiTheme="majorHAnsi" w:cstheme="majorHAnsi"/>
        </w:rPr>
        <w:t xml:space="preserve"> many of the credit servicers have falsely represented themselves as owners of the loans. Th</w:t>
      </w:r>
      <w:r w:rsidR="006D006D">
        <w:rPr>
          <w:rFonts w:asciiTheme="majorHAnsi" w:hAnsiTheme="majorHAnsi" w:cstheme="majorHAnsi"/>
        </w:rPr>
        <w:t xml:space="preserve">e </w:t>
      </w:r>
      <w:r w:rsidRPr="00925D7A">
        <w:rPr>
          <w:rFonts w:asciiTheme="majorHAnsi" w:hAnsiTheme="majorHAnsi" w:cstheme="majorHAnsi"/>
        </w:rPr>
        <w:t xml:space="preserve">existence of funders who are the true owners is concealed from the courts. In the case of Housing Loans, Section 97 speaks of possession orders at the application of mortgagees. By implication, a possession order is </w:t>
      </w:r>
      <w:r w:rsidRPr="00224CD9">
        <w:rPr>
          <w:rFonts w:asciiTheme="majorHAnsi" w:hAnsiTheme="majorHAnsi" w:cstheme="majorHAnsi"/>
          <w:i/>
          <w:iCs/>
        </w:rPr>
        <w:t>unavailable</w:t>
      </w:r>
      <w:r w:rsidRPr="00925D7A">
        <w:rPr>
          <w:rFonts w:asciiTheme="majorHAnsi" w:hAnsiTheme="majorHAnsi" w:cstheme="majorHAnsi"/>
        </w:rPr>
        <w:t xml:space="preserve"> to any other applicant, </w:t>
      </w:r>
      <w:r w:rsidRPr="00F913FC">
        <w:rPr>
          <w:rFonts w:asciiTheme="majorHAnsi" w:hAnsiTheme="majorHAnsi" w:cstheme="majorHAnsi"/>
        </w:rPr>
        <w:t>Credit Servicers are not mortgagees</w:t>
      </w:r>
      <w:r w:rsidRPr="00925D7A">
        <w:rPr>
          <w:rFonts w:asciiTheme="majorHAnsi" w:hAnsiTheme="majorHAnsi" w:cstheme="majorHAnsi"/>
        </w:rPr>
        <w:t>.</w:t>
      </w:r>
      <w:r w:rsidR="00567E5C" w:rsidRPr="00567E5C">
        <w:rPr>
          <w:rFonts w:asciiTheme="majorHAnsi" w:hAnsiTheme="majorHAnsi" w:cstheme="majorHAnsi"/>
        </w:rPr>
        <w:t xml:space="preserve"> </w:t>
      </w:r>
    </w:p>
    <w:p w14:paraId="30D6BC47" w14:textId="34AB512A" w:rsidR="00186D34" w:rsidRDefault="00567E5C" w:rsidP="00AF6BF5">
      <w:pPr>
        <w:spacing w:line="240" w:lineRule="auto"/>
        <w:jc w:val="left"/>
        <w:rPr>
          <w:rFonts w:asciiTheme="majorHAnsi" w:hAnsiTheme="majorHAnsi" w:cstheme="majorHAnsi"/>
        </w:rPr>
      </w:pPr>
      <w:r w:rsidRPr="00925D7A">
        <w:rPr>
          <w:rFonts w:asciiTheme="majorHAnsi" w:hAnsiTheme="majorHAnsi" w:cstheme="majorHAnsi"/>
        </w:rPr>
        <w:t xml:space="preserve">The Directive is also clear on the point. A new </w:t>
      </w:r>
      <w:r w:rsidR="00224CD9">
        <w:rPr>
          <w:rFonts w:asciiTheme="majorHAnsi" w:hAnsiTheme="majorHAnsi" w:cstheme="majorHAnsi"/>
        </w:rPr>
        <w:t xml:space="preserve">provision, </w:t>
      </w:r>
      <w:r w:rsidRPr="00925D7A">
        <w:rPr>
          <w:rFonts w:asciiTheme="majorHAnsi" w:hAnsiTheme="majorHAnsi" w:cstheme="majorHAnsi"/>
        </w:rPr>
        <w:t>Article 28</w:t>
      </w:r>
      <w:r w:rsidR="00224CD9">
        <w:rPr>
          <w:rFonts w:asciiTheme="majorHAnsi" w:hAnsiTheme="majorHAnsi" w:cstheme="majorHAnsi"/>
        </w:rPr>
        <w:t>, paragraph 1(a</w:t>
      </w:r>
      <w:r w:rsidRPr="00925D7A">
        <w:rPr>
          <w:rFonts w:asciiTheme="majorHAnsi" w:hAnsiTheme="majorHAnsi" w:cstheme="majorHAnsi"/>
        </w:rPr>
        <w:t>) is n</w:t>
      </w:r>
      <w:r>
        <w:rPr>
          <w:rFonts w:asciiTheme="majorHAnsi" w:hAnsiTheme="majorHAnsi" w:cstheme="majorHAnsi"/>
        </w:rPr>
        <w:t>o</w:t>
      </w:r>
      <w:r w:rsidRPr="00925D7A">
        <w:rPr>
          <w:rFonts w:asciiTheme="majorHAnsi" w:hAnsiTheme="majorHAnsi" w:cstheme="majorHAnsi"/>
        </w:rPr>
        <w:t xml:space="preserve">w to be read into the 2014 Mortgages Directive to the effect that </w:t>
      </w:r>
      <w:r w:rsidRPr="00925D7A">
        <w:rPr>
          <w:rFonts w:asciiTheme="majorHAnsi" w:hAnsiTheme="majorHAnsi" w:cstheme="majorHAnsi"/>
          <w:i/>
          <w:iCs/>
        </w:rPr>
        <w:t>“In the event of an assignment to a third party of the creditor’s rights under a credit agreement, the consumer shall be entitled to plead against the assignee any defence which was available as against the original creditor.”</w:t>
      </w:r>
      <w:r w:rsidRPr="00925D7A">
        <w:rPr>
          <w:rFonts w:asciiTheme="majorHAnsi" w:hAnsiTheme="majorHAnsi" w:cstheme="majorHAnsi"/>
        </w:rPr>
        <w:t xml:space="preserve"> Obviously, the EU Commission so provided because the law expects the </w:t>
      </w:r>
      <w:proofErr w:type="gramStart"/>
      <w:r w:rsidRPr="00925D7A">
        <w:rPr>
          <w:rFonts w:asciiTheme="majorHAnsi" w:hAnsiTheme="majorHAnsi" w:cstheme="majorHAnsi"/>
        </w:rPr>
        <w:t>third</w:t>
      </w:r>
      <w:r>
        <w:rPr>
          <w:rFonts w:asciiTheme="majorHAnsi" w:hAnsiTheme="majorHAnsi" w:cstheme="majorHAnsi"/>
        </w:rPr>
        <w:t xml:space="preserve"> </w:t>
      </w:r>
      <w:r w:rsidRPr="00925D7A">
        <w:rPr>
          <w:rFonts w:asciiTheme="majorHAnsi" w:hAnsiTheme="majorHAnsi" w:cstheme="majorHAnsi"/>
        </w:rPr>
        <w:t>party</w:t>
      </w:r>
      <w:proofErr w:type="gramEnd"/>
      <w:r w:rsidRPr="00925D7A">
        <w:rPr>
          <w:rFonts w:asciiTheme="majorHAnsi" w:hAnsiTheme="majorHAnsi" w:cstheme="majorHAnsi"/>
        </w:rPr>
        <w:t xml:space="preserve"> assignee, the </w:t>
      </w:r>
      <w:r w:rsidRPr="00925D7A">
        <w:rPr>
          <w:rFonts w:asciiTheme="majorHAnsi" w:hAnsiTheme="majorHAnsi" w:cstheme="majorHAnsi"/>
          <w:i/>
          <w:iCs/>
        </w:rPr>
        <w:t>“credit purchaser</w:t>
      </w:r>
      <w:r>
        <w:rPr>
          <w:rFonts w:asciiTheme="majorHAnsi" w:hAnsiTheme="majorHAnsi" w:cstheme="majorHAnsi"/>
        </w:rPr>
        <w:t>,”</w:t>
      </w:r>
      <w:r w:rsidRPr="00925D7A">
        <w:rPr>
          <w:rFonts w:asciiTheme="majorHAnsi" w:hAnsiTheme="majorHAnsi" w:cstheme="majorHAnsi"/>
        </w:rPr>
        <w:t xml:space="preserve"> as owner, to be the </w:t>
      </w:r>
      <w:r>
        <w:rPr>
          <w:rFonts w:asciiTheme="majorHAnsi" w:hAnsiTheme="majorHAnsi" w:cstheme="majorHAnsi"/>
        </w:rPr>
        <w:t>P</w:t>
      </w:r>
      <w:r w:rsidRPr="00925D7A">
        <w:rPr>
          <w:rFonts w:asciiTheme="majorHAnsi" w:hAnsiTheme="majorHAnsi" w:cstheme="majorHAnsi"/>
        </w:rPr>
        <w:t>laintiff in possession proceedings, and no one else</w:t>
      </w:r>
      <w:r w:rsidR="002F2392">
        <w:rPr>
          <w:rFonts w:asciiTheme="majorHAnsi" w:hAnsiTheme="majorHAnsi" w:cstheme="majorHAnsi"/>
        </w:rPr>
        <w:t>.</w:t>
      </w:r>
    </w:p>
    <w:p w14:paraId="51C2E40D" w14:textId="0AF7DA3A" w:rsidR="006D006D" w:rsidRPr="006D006D" w:rsidRDefault="006D006D" w:rsidP="00AF6BF5">
      <w:pPr>
        <w:spacing w:line="240" w:lineRule="auto"/>
        <w:jc w:val="left"/>
        <w:rPr>
          <w:rFonts w:asciiTheme="majorHAnsi" w:hAnsiTheme="majorHAnsi" w:cstheme="majorHAnsi"/>
          <w:b/>
          <w:bCs/>
        </w:rPr>
      </w:pPr>
    </w:p>
    <w:p w14:paraId="39C73E37" w14:textId="3B43EE44" w:rsidR="007D6900" w:rsidRPr="004B4D8B" w:rsidRDefault="007D6900" w:rsidP="00AF6BF5">
      <w:pPr>
        <w:spacing w:after="40" w:line="240" w:lineRule="auto"/>
        <w:jc w:val="left"/>
        <w:rPr>
          <w:rFonts w:asciiTheme="majorHAnsi" w:hAnsiTheme="majorHAnsi" w:cstheme="majorHAnsi"/>
          <w:b/>
          <w:bCs/>
          <w:u w:val="single"/>
        </w:rPr>
      </w:pPr>
      <w:r w:rsidRPr="004B4D8B">
        <w:rPr>
          <w:rFonts w:asciiTheme="majorHAnsi" w:hAnsiTheme="majorHAnsi" w:cstheme="majorHAnsi"/>
          <w:b/>
          <w:bCs/>
          <w:u w:val="single"/>
        </w:rPr>
        <w:t>My Take</w:t>
      </w:r>
    </w:p>
    <w:p w14:paraId="76458855" w14:textId="77777777" w:rsidR="006D006D" w:rsidRDefault="006D006D" w:rsidP="00AF6BF5">
      <w:pPr>
        <w:spacing w:after="40" w:line="240" w:lineRule="auto"/>
        <w:jc w:val="left"/>
        <w:rPr>
          <w:rFonts w:asciiTheme="majorHAnsi" w:hAnsiTheme="majorHAnsi" w:cstheme="majorHAnsi"/>
        </w:rPr>
      </w:pPr>
    </w:p>
    <w:p w14:paraId="2BAA8FA9" w14:textId="626FCE2D" w:rsidR="007D6900" w:rsidRPr="00BE4D5F" w:rsidRDefault="007D6900" w:rsidP="00AF6BF5">
      <w:pPr>
        <w:spacing w:after="40" w:line="240" w:lineRule="auto"/>
        <w:jc w:val="left"/>
        <w:rPr>
          <w:rFonts w:asciiTheme="majorHAnsi" w:hAnsiTheme="majorHAnsi" w:cstheme="majorHAnsi"/>
        </w:rPr>
      </w:pPr>
      <w:r w:rsidRPr="00BE4D5F">
        <w:rPr>
          <w:rFonts w:asciiTheme="majorHAnsi" w:hAnsiTheme="majorHAnsi" w:cstheme="majorHAnsi"/>
        </w:rPr>
        <w:t>After securiti</w:t>
      </w:r>
      <w:r>
        <w:rPr>
          <w:rFonts w:asciiTheme="majorHAnsi" w:hAnsiTheme="majorHAnsi" w:cstheme="majorHAnsi"/>
        </w:rPr>
        <w:t>s</w:t>
      </w:r>
      <w:r w:rsidRPr="00BE4D5F">
        <w:rPr>
          <w:rFonts w:asciiTheme="majorHAnsi" w:hAnsiTheme="majorHAnsi" w:cstheme="majorHAnsi"/>
        </w:rPr>
        <w:t>ation, the loan originator becomes the credit servicer. Not a problem. Just don’t tell</w:t>
      </w:r>
    </w:p>
    <w:p w14:paraId="49560B67" w14:textId="7E6E6687" w:rsidR="007D6900" w:rsidRPr="00BE4D5F" w:rsidRDefault="007D6900" w:rsidP="00AF6BF5">
      <w:pPr>
        <w:spacing w:after="40" w:line="240" w:lineRule="auto"/>
        <w:jc w:val="left"/>
        <w:rPr>
          <w:rFonts w:asciiTheme="majorHAnsi" w:hAnsiTheme="majorHAnsi" w:cstheme="majorHAnsi"/>
        </w:rPr>
      </w:pPr>
      <w:r w:rsidRPr="00BE4D5F">
        <w:rPr>
          <w:rFonts w:asciiTheme="majorHAnsi" w:hAnsiTheme="majorHAnsi" w:cstheme="majorHAnsi"/>
        </w:rPr>
        <w:t>the PRA</w:t>
      </w:r>
      <w:r>
        <w:rPr>
          <w:rFonts w:asciiTheme="majorHAnsi" w:hAnsiTheme="majorHAnsi" w:cstheme="majorHAnsi"/>
        </w:rPr>
        <w:t xml:space="preserve"> </w:t>
      </w:r>
      <w:r w:rsidRPr="00BE4D5F">
        <w:rPr>
          <w:rFonts w:asciiTheme="majorHAnsi" w:hAnsiTheme="majorHAnsi" w:cstheme="majorHAnsi"/>
        </w:rPr>
        <w:t xml:space="preserve">the charge has been sold on. And don’t tell the </w:t>
      </w:r>
      <w:r>
        <w:rPr>
          <w:rFonts w:asciiTheme="majorHAnsi" w:hAnsiTheme="majorHAnsi" w:cstheme="majorHAnsi"/>
        </w:rPr>
        <w:t>C</w:t>
      </w:r>
      <w:r w:rsidRPr="00BE4D5F">
        <w:rPr>
          <w:rFonts w:asciiTheme="majorHAnsi" w:hAnsiTheme="majorHAnsi" w:cstheme="majorHAnsi"/>
        </w:rPr>
        <w:t>ourt it’s been sold on.</w:t>
      </w:r>
    </w:p>
    <w:p w14:paraId="0500536D" w14:textId="77777777" w:rsidR="007D6900" w:rsidRPr="00BE4D5F" w:rsidRDefault="007D6900" w:rsidP="00AF6BF5">
      <w:pPr>
        <w:spacing w:after="40" w:line="240" w:lineRule="auto"/>
        <w:jc w:val="left"/>
        <w:rPr>
          <w:rFonts w:asciiTheme="majorHAnsi" w:hAnsiTheme="majorHAnsi" w:cstheme="majorHAnsi"/>
        </w:rPr>
      </w:pPr>
      <w:r w:rsidRPr="00BE4D5F">
        <w:rPr>
          <w:rFonts w:asciiTheme="majorHAnsi" w:hAnsiTheme="majorHAnsi" w:cstheme="majorHAnsi"/>
        </w:rPr>
        <w:t>Say: “</w:t>
      </w:r>
      <w:r w:rsidRPr="00567E5C">
        <w:rPr>
          <w:rFonts w:asciiTheme="majorHAnsi" w:hAnsiTheme="majorHAnsi" w:cstheme="majorHAnsi"/>
          <w:i/>
          <w:iCs/>
        </w:rPr>
        <w:t>I’m registered as owner</w:t>
      </w:r>
      <w:r w:rsidRPr="00BE4D5F">
        <w:rPr>
          <w:rFonts w:asciiTheme="majorHAnsi" w:hAnsiTheme="majorHAnsi" w:cstheme="majorHAnsi"/>
        </w:rPr>
        <w:t>” (the truth: that’s what it says on the register of title), but don’t say:</w:t>
      </w:r>
    </w:p>
    <w:p w14:paraId="788D2A60" w14:textId="0A8A56AA" w:rsidR="007D6900" w:rsidRDefault="007D6900" w:rsidP="00AF6BF5">
      <w:pPr>
        <w:spacing w:after="40" w:line="240" w:lineRule="auto"/>
        <w:jc w:val="left"/>
        <w:rPr>
          <w:rFonts w:asciiTheme="majorHAnsi" w:hAnsiTheme="majorHAnsi" w:cstheme="majorHAnsi"/>
        </w:rPr>
      </w:pPr>
      <w:r w:rsidRPr="00BE4D5F">
        <w:rPr>
          <w:rFonts w:asciiTheme="majorHAnsi" w:hAnsiTheme="majorHAnsi" w:cstheme="majorHAnsi"/>
        </w:rPr>
        <w:t>“</w:t>
      </w:r>
      <w:r w:rsidRPr="00567E5C">
        <w:rPr>
          <w:rFonts w:asciiTheme="majorHAnsi" w:hAnsiTheme="majorHAnsi" w:cstheme="majorHAnsi"/>
          <w:i/>
          <w:iCs/>
        </w:rPr>
        <w:t>I’m not the owner</w:t>
      </w:r>
      <w:r w:rsidRPr="00BE4D5F">
        <w:rPr>
          <w:rFonts w:asciiTheme="majorHAnsi" w:hAnsiTheme="majorHAnsi" w:cstheme="majorHAnsi"/>
        </w:rPr>
        <w:t>” (the whole truth).</w:t>
      </w:r>
    </w:p>
    <w:p w14:paraId="5A9FA467" w14:textId="77777777" w:rsidR="007D6900" w:rsidRPr="00BE4D5F" w:rsidRDefault="007D6900" w:rsidP="00AF6BF5">
      <w:pPr>
        <w:spacing w:after="40" w:line="240" w:lineRule="auto"/>
        <w:jc w:val="left"/>
        <w:rPr>
          <w:rFonts w:asciiTheme="majorHAnsi" w:hAnsiTheme="majorHAnsi" w:cstheme="majorHAnsi"/>
        </w:rPr>
      </w:pPr>
    </w:p>
    <w:p w14:paraId="0784F44E" w14:textId="55C8EE72" w:rsidR="007D6900" w:rsidRPr="00BE4D5F" w:rsidRDefault="007D6900" w:rsidP="00AF6BF5">
      <w:pPr>
        <w:spacing w:after="40" w:line="240" w:lineRule="auto"/>
        <w:jc w:val="left"/>
        <w:rPr>
          <w:rFonts w:asciiTheme="majorHAnsi" w:hAnsiTheme="majorHAnsi" w:cstheme="majorHAnsi"/>
        </w:rPr>
      </w:pPr>
      <w:r w:rsidRPr="00BE4D5F">
        <w:rPr>
          <w:rFonts w:asciiTheme="majorHAnsi" w:hAnsiTheme="majorHAnsi" w:cstheme="majorHAnsi"/>
        </w:rPr>
        <w:t>Then, instead of selling as mortgagee in possession (‘cos you’re not the mortgagee anymore, just the</w:t>
      </w:r>
      <w:r w:rsidR="0064458F">
        <w:rPr>
          <w:rFonts w:asciiTheme="majorHAnsi" w:hAnsiTheme="majorHAnsi" w:cstheme="majorHAnsi"/>
        </w:rPr>
        <w:t xml:space="preserve"> </w:t>
      </w:r>
      <w:r w:rsidRPr="00BE4D5F">
        <w:rPr>
          <w:rFonts w:asciiTheme="majorHAnsi" w:hAnsiTheme="majorHAnsi" w:cstheme="majorHAnsi"/>
        </w:rPr>
        <w:t xml:space="preserve">servicer), get a possession order from the </w:t>
      </w:r>
      <w:r>
        <w:rPr>
          <w:rFonts w:asciiTheme="majorHAnsi" w:hAnsiTheme="majorHAnsi" w:cstheme="majorHAnsi"/>
        </w:rPr>
        <w:t>C</w:t>
      </w:r>
      <w:r w:rsidRPr="00BE4D5F">
        <w:rPr>
          <w:rFonts w:asciiTheme="majorHAnsi" w:hAnsiTheme="majorHAnsi" w:cstheme="majorHAnsi"/>
        </w:rPr>
        <w:t>ourt in your own name and use that as your title</w:t>
      </w:r>
    </w:p>
    <w:p w14:paraId="129D16F3" w14:textId="3E18C134" w:rsidR="007D6900" w:rsidRPr="00BE4D5F" w:rsidRDefault="007D6900" w:rsidP="00AF6BF5">
      <w:pPr>
        <w:spacing w:after="40" w:line="240" w:lineRule="auto"/>
        <w:jc w:val="left"/>
        <w:rPr>
          <w:rFonts w:asciiTheme="majorHAnsi" w:hAnsiTheme="majorHAnsi" w:cstheme="majorHAnsi"/>
        </w:rPr>
      </w:pPr>
      <w:r w:rsidRPr="00BE4D5F">
        <w:rPr>
          <w:rFonts w:asciiTheme="majorHAnsi" w:hAnsiTheme="majorHAnsi" w:cstheme="majorHAnsi"/>
        </w:rPr>
        <w:t xml:space="preserve">document. You could then sell the order itself (sic) or evict and sell </w:t>
      </w:r>
      <w:r w:rsidR="00B82A0C">
        <w:rPr>
          <w:rFonts w:asciiTheme="majorHAnsi" w:hAnsiTheme="majorHAnsi" w:cstheme="majorHAnsi"/>
        </w:rPr>
        <w:t xml:space="preserve">the </w:t>
      </w:r>
      <w:r w:rsidRPr="00BE4D5F">
        <w:rPr>
          <w:rFonts w:asciiTheme="majorHAnsi" w:hAnsiTheme="majorHAnsi" w:cstheme="majorHAnsi"/>
        </w:rPr>
        <w:t>property “with</w:t>
      </w:r>
    </w:p>
    <w:p w14:paraId="714164C0" w14:textId="74C30D5D" w:rsidR="00423066" w:rsidRDefault="007D6900" w:rsidP="00AF6BF5">
      <w:pPr>
        <w:spacing w:after="40" w:line="240" w:lineRule="auto"/>
        <w:jc w:val="left"/>
        <w:rPr>
          <w:rFonts w:asciiTheme="majorHAnsi" w:hAnsiTheme="majorHAnsi" w:cstheme="majorHAnsi"/>
        </w:rPr>
      </w:pPr>
      <w:r w:rsidRPr="00BE4D5F">
        <w:rPr>
          <w:rFonts w:asciiTheme="majorHAnsi" w:hAnsiTheme="majorHAnsi" w:cstheme="majorHAnsi"/>
        </w:rPr>
        <w:t>vacant possession</w:t>
      </w:r>
      <w:r w:rsidR="00B82A0C">
        <w:rPr>
          <w:rFonts w:asciiTheme="majorHAnsi" w:hAnsiTheme="majorHAnsi" w:cstheme="majorHAnsi"/>
        </w:rPr>
        <w:t>.”</w:t>
      </w:r>
      <w:r w:rsidR="00567E5C">
        <w:rPr>
          <w:rFonts w:asciiTheme="majorHAnsi" w:hAnsiTheme="majorHAnsi" w:cstheme="majorHAnsi"/>
        </w:rPr>
        <w:t xml:space="preserve"> Remit the proceeds to the credit purchaser.</w:t>
      </w:r>
    </w:p>
    <w:p w14:paraId="1E0BD8D4" w14:textId="77777777" w:rsidR="00423066" w:rsidRPr="00423066" w:rsidRDefault="00423066" w:rsidP="00AF6BF5">
      <w:pPr>
        <w:pStyle w:val="NoSpacing"/>
      </w:pPr>
    </w:p>
    <w:p w14:paraId="2C002B9F" w14:textId="77777777" w:rsidR="007D6900" w:rsidRPr="00BE4D5F" w:rsidRDefault="007D6900" w:rsidP="00AF6BF5">
      <w:pPr>
        <w:spacing w:after="40" w:line="240" w:lineRule="auto"/>
        <w:jc w:val="left"/>
        <w:rPr>
          <w:rFonts w:asciiTheme="majorHAnsi" w:hAnsiTheme="majorHAnsi" w:cstheme="majorHAnsi"/>
        </w:rPr>
      </w:pPr>
      <w:r w:rsidRPr="00BE4D5F">
        <w:rPr>
          <w:rFonts w:asciiTheme="majorHAnsi" w:hAnsiTheme="majorHAnsi" w:cstheme="majorHAnsi"/>
        </w:rPr>
        <w:t xml:space="preserve">And, of course, the shortcut is equally convenient for </w:t>
      </w:r>
      <w:r w:rsidRPr="00567E5C">
        <w:rPr>
          <w:rFonts w:asciiTheme="majorHAnsi" w:hAnsiTheme="majorHAnsi" w:cstheme="majorHAnsi"/>
          <w:i/>
          <w:iCs/>
        </w:rPr>
        <w:t>performing</w:t>
      </w:r>
      <w:r w:rsidRPr="00BE4D5F">
        <w:rPr>
          <w:rFonts w:asciiTheme="majorHAnsi" w:hAnsiTheme="majorHAnsi" w:cstheme="majorHAnsi"/>
        </w:rPr>
        <w:t xml:space="preserve"> loans because the credit servicer,</w:t>
      </w:r>
    </w:p>
    <w:p w14:paraId="1D96500D" w14:textId="77777777" w:rsidR="007D6900" w:rsidRPr="00BE4D5F" w:rsidRDefault="007D6900" w:rsidP="00AF6BF5">
      <w:pPr>
        <w:spacing w:after="40" w:line="240" w:lineRule="auto"/>
        <w:jc w:val="left"/>
        <w:rPr>
          <w:rFonts w:asciiTheme="majorHAnsi" w:hAnsiTheme="majorHAnsi" w:cstheme="majorHAnsi"/>
        </w:rPr>
      </w:pPr>
      <w:r w:rsidRPr="00F913FC">
        <w:rPr>
          <w:rFonts w:asciiTheme="majorHAnsi" w:hAnsiTheme="majorHAnsi" w:cstheme="majorHAnsi"/>
        </w:rPr>
        <w:t>persisting in his charade as mortgagee</w:t>
      </w:r>
      <w:r w:rsidRPr="00BE4D5F">
        <w:rPr>
          <w:rFonts w:asciiTheme="majorHAnsi" w:hAnsiTheme="majorHAnsi" w:cstheme="majorHAnsi"/>
        </w:rPr>
        <w:t>, can give good (bad) discharge by endorsing receipt on the</w:t>
      </w:r>
    </w:p>
    <w:p w14:paraId="2A89BBAB" w14:textId="77777777" w:rsidR="007D6900" w:rsidRPr="00BE4D5F" w:rsidRDefault="007D6900" w:rsidP="00AF6BF5">
      <w:pPr>
        <w:spacing w:after="40" w:line="240" w:lineRule="auto"/>
        <w:jc w:val="left"/>
        <w:rPr>
          <w:rFonts w:asciiTheme="majorHAnsi" w:hAnsiTheme="majorHAnsi" w:cstheme="majorHAnsi"/>
        </w:rPr>
      </w:pPr>
      <w:r w:rsidRPr="00BE4D5F">
        <w:rPr>
          <w:rFonts w:asciiTheme="majorHAnsi" w:hAnsiTheme="majorHAnsi" w:cstheme="majorHAnsi"/>
        </w:rPr>
        <w:t>deed. No need to bother the (offshore) credit purchaser, even though the relevant Statutory</w:t>
      </w:r>
    </w:p>
    <w:p w14:paraId="6A4C1389" w14:textId="5FA5E623" w:rsidR="00423066" w:rsidRDefault="007D6900" w:rsidP="00AF6BF5">
      <w:pPr>
        <w:spacing w:after="40" w:line="240" w:lineRule="auto"/>
        <w:jc w:val="left"/>
        <w:rPr>
          <w:rFonts w:asciiTheme="majorHAnsi" w:hAnsiTheme="majorHAnsi" w:cstheme="majorHAnsi"/>
        </w:rPr>
      </w:pPr>
      <w:r w:rsidRPr="00423066">
        <w:rPr>
          <w:rFonts w:asciiTheme="majorHAnsi" w:hAnsiTheme="majorHAnsi" w:cstheme="majorHAnsi"/>
        </w:rPr>
        <w:t>provisions have not been complied with</w:t>
      </w:r>
      <w:r w:rsidR="00567E5C" w:rsidRPr="00423066">
        <w:rPr>
          <w:rFonts w:asciiTheme="majorHAnsi" w:hAnsiTheme="majorHAnsi" w:cstheme="majorHAnsi"/>
        </w:rPr>
        <w:t>.</w:t>
      </w:r>
    </w:p>
    <w:p w14:paraId="4E996427" w14:textId="77777777" w:rsidR="00423066" w:rsidRPr="00423066" w:rsidRDefault="00423066" w:rsidP="00AF6BF5">
      <w:pPr>
        <w:pStyle w:val="NoSpacing"/>
      </w:pPr>
    </w:p>
    <w:p w14:paraId="41CC71F5" w14:textId="5D4F13C9" w:rsidR="00A27A9C" w:rsidRDefault="007D6900" w:rsidP="00AF6BF5">
      <w:pPr>
        <w:spacing w:line="240" w:lineRule="auto"/>
        <w:jc w:val="left"/>
        <w:rPr>
          <w:rFonts w:asciiTheme="majorHAnsi" w:hAnsiTheme="majorHAnsi" w:cstheme="majorHAnsi"/>
          <w:i/>
          <w:iCs/>
        </w:rPr>
      </w:pPr>
      <w:r w:rsidRPr="00925D7A">
        <w:rPr>
          <w:rFonts w:asciiTheme="majorHAnsi" w:hAnsiTheme="majorHAnsi" w:cstheme="majorHAnsi"/>
        </w:rPr>
        <w:t xml:space="preserve">The legal charge can be </w:t>
      </w:r>
      <w:r w:rsidR="00567E5C">
        <w:rPr>
          <w:rFonts w:asciiTheme="majorHAnsi" w:hAnsiTheme="majorHAnsi" w:cstheme="majorHAnsi"/>
        </w:rPr>
        <w:t>listed as a “burden”</w:t>
      </w:r>
      <w:r w:rsidRPr="00925D7A">
        <w:rPr>
          <w:rFonts w:asciiTheme="majorHAnsi" w:hAnsiTheme="majorHAnsi" w:cstheme="majorHAnsi"/>
        </w:rPr>
        <w:t xml:space="preserve"> on the folio registering ownership of the land but, as </w:t>
      </w:r>
      <w:r w:rsidR="006A50F2">
        <w:rPr>
          <w:rFonts w:asciiTheme="majorHAnsi" w:hAnsiTheme="majorHAnsi" w:cstheme="majorHAnsi"/>
        </w:rPr>
        <w:t>confirmed by the retired Deputy Registrar, John Deeney, in his comprehensive book</w:t>
      </w:r>
      <w:r w:rsidR="00D61DB0">
        <w:rPr>
          <w:rFonts w:asciiTheme="majorHAnsi" w:hAnsiTheme="majorHAnsi" w:cstheme="majorHAnsi"/>
        </w:rPr>
        <w:t>, at page 142</w:t>
      </w:r>
      <w:r w:rsidR="006A50F2">
        <w:rPr>
          <w:rFonts w:asciiTheme="majorHAnsi" w:hAnsiTheme="majorHAnsi" w:cstheme="majorHAnsi"/>
        </w:rPr>
        <w:t>:</w:t>
      </w:r>
      <w:r w:rsidR="00A27A9C">
        <w:rPr>
          <w:rFonts w:asciiTheme="majorHAnsi" w:hAnsiTheme="majorHAnsi" w:cstheme="majorHAnsi"/>
        </w:rPr>
        <w:t xml:space="preserve"> </w:t>
      </w:r>
      <w:r w:rsidR="00A27A9C" w:rsidRPr="00A27A9C">
        <w:rPr>
          <w:rFonts w:asciiTheme="majorHAnsi" w:hAnsiTheme="majorHAnsi" w:cstheme="majorHAnsi"/>
          <w:i/>
          <w:iCs/>
        </w:rPr>
        <w:t>“Registration of a charge as a burden on registered land is not evidence of its ownership, it is evidence only that the charge is an encumbrance on the estate of the registered owner.”</w:t>
      </w:r>
      <w:r w:rsidR="00A27A9C">
        <w:rPr>
          <w:rFonts w:asciiTheme="majorHAnsi" w:hAnsiTheme="majorHAnsi" w:cstheme="majorHAnsi"/>
          <w:i/>
          <w:iCs/>
        </w:rPr>
        <w:t xml:space="preserve"> </w:t>
      </w:r>
    </w:p>
    <w:p w14:paraId="2E29A9E2" w14:textId="4A019630" w:rsidR="00B82A0C" w:rsidRDefault="00A27A9C" w:rsidP="00AF6BF5">
      <w:pPr>
        <w:spacing w:after="40" w:line="240" w:lineRule="auto"/>
        <w:jc w:val="left"/>
        <w:rPr>
          <w:rFonts w:asciiTheme="majorHAnsi" w:hAnsiTheme="majorHAnsi" w:cstheme="majorHAnsi"/>
        </w:rPr>
      </w:pPr>
      <w:r>
        <w:rPr>
          <w:rFonts w:asciiTheme="majorHAnsi" w:hAnsiTheme="majorHAnsi" w:cstheme="majorHAnsi"/>
        </w:rPr>
        <w:t>Cl</w:t>
      </w:r>
      <w:r w:rsidR="007D6900" w:rsidRPr="00925D7A">
        <w:rPr>
          <w:rFonts w:asciiTheme="majorHAnsi" w:hAnsiTheme="majorHAnsi" w:cstheme="majorHAnsi"/>
        </w:rPr>
        <w:t xml:space="preserve">aims to ownership of the charge, when made by credit servicers </w:t>
      </w:r>
      <w:r>
        <w:rPr>
          <w:rFonts w:asciiTheme="majorHAnsi" w:hAnsiTheme="majorHAnsi" w:cstheme="majorHAnsi"/>
        </w:rPr>
        <w:t>registered as owners,</w:t>
      </w:r>
      <w:r w:rsidR="007D6900" w:rsidRPr="00925D7A">
        <w:rPr>
          <w:rFonts w:asciiTheme="majorHAnsi" w:hAnsiTheme="majorHAnsi" w:cstheme="majorHAnsi"/>
        </w:rPr>
        <w:t xml:space="preserve"> </w:t>
      </w:r>
      <w:r w:rsidR="007D6900" w:rsidRPr="00F913FC">
        <w:rPr>
          <w:rFonts w:asciiTheme="majorHAnsi" w:hAnsiTheme="majorHAnsi" w:cstheme="majorHAnsi"/>
        </w:rPr>
        <w:t>must be rejected</w:t>
      </w:r>
      <w:r>
        <w:rPr>
          <w:rFonts w:asciiTheme="majorHAnsi" w:hAnsiTheme="majorHAnsi" w:cstheme="majorHAnsi"/>
        </w:rPr>
        <w:t xml:space="preserve"> as fraud</w:t>
      </w:r>
      <w:r w:rsidR="007D6900" w:rsidRPr="00925D7A">
        <w:rPr>
          <w:rFonts w:asciiTheme="majorHAnsi" w:hAnsiTheme="majorHAnsi" w:cstheme="majorHAnsi"/>
        </w:rPr>
        <w:t xml:space="preserve">. </w:t>
      </w:r>
      <w:r w:rsidRPr="00A27A9C">
        <w:rPr>
          <w:rFonts w:asciiTheme="majorHAnsi" w:hAnsiTheme="majorHAnsi" w:cstheme="majorHAnsi"/>
          <w:i/>
          <w:iCs/>
        </w:rPr>
        <w:t>“Mere entry will not, of course, give validity to an invalid claim</w:t>
      </w:r>
      <w:r w:rsidR="00B82A0C">
        <w:rPr>
          <w:rFonts w:asciiTheme="majorHAnsi" w:hAnsiTheme="majorHAnsi" w:cstheme="majorHAnsi"/>
          <w:i/>
          <w:iCs/>
        </w:rPr>
        <w:t>.</w:t>
      </w:r>
      <w:r w:rsidRPr="00A27A9C">
        <w:rPr>
          <w:rFonts w:asciiTheme="majorHAnsi" w:hAnsiTheme="majorHAnsi" w:cstheme="majorHAnsi"/>
          <w:i/>
          <w:iCs/>
        </w:rPr>
        <w:t xml:space="preserve">” </w:t>
      </w:r>
      <w:r w:rsidR="007D6900" w:rsidRPr="00925D7A">
        <w:rPr>
          <w:rFonts w:asciiTheme="majorHAnsi" w:hAnsiTheme="majorHAnsi" w:cstheme="majorHAnsi"/>
        </w:rPr>
        <w:t>In reality, their validity is never challenged or adjudicated, largely because the name it bears is that of the original lender even after it had morphed into a credit servicer without title to the charge, and the change has not been notified to the Register. It is a “</w:t>
      </w:r>
      <w:r w:rsidR="007D6900" w:rsidRPr="00925D7A">
        <w:rPr>
          <w:rFonts w:asciiTheme="majorHAnsi" w:hAnsiTheme="majorHAnsi" w:cstheme="majorHAnsi"/>
          <w:i/>
          <w:iCs/>
        </w:rPr>
        <w:t>conveyancers’ artifice”</w:t>
      </w:r>
      <w:r w:rsidR="007D6900" w:rsidRPr="00925D7A">
        <w:rPr>
          <w:rFonts w:asciiTheme="majorHAnsi" w:hAnsiTheme="majorHAnsi" w:cstheme="majorHAnsi"/>
        </w:rPr>
        <w:t xml:space="preserve"> and involves several prosecutable offences, not to mention, when the case comes to court,</w:t>
      </w:r>
      <w:r w:rsidR="007D6900" w:rsidRPr="00F913FC">
        <w:rPr>
          <w:rFonts w:asciiTheme="majorHAnsi" w:hAnsiTheme="majorHAnsi" w:cstheme="majorHAnsi"/>
        </w:rPr>
        <w:t xml:space="preserve"> </w:t>
      </w:r>
      <w:r w:rsidR="007D6900" w:rsidRPr="00567E5C">
        <w:rPr>
          <w:rFonts w:asciiTheme="majorHAnsi" w:hAnsiTheme="majorHAnsi" w:cstheme="majorHAnsi"/>
        </w:rPr>
        <w:t>clear perjury</w:t>
      </w:r>
      <w:r w:rsidR="007D6900" w:rsidRPr="00F913FC">
        <w:rPr>
          <w:rFonts w:asciiTheme="majorHAnsi" w:hAnsiTheme="majorHAnsi" w:cstheme="majorHAnsi"/>
        </w:rPr>
        <w:t xml:space="preserve"> </w:t>
      </w:r>
      <w:r w:rsidR="007D6900" w:rsidRPr="00925D7A">
        <w:rPr>
          <w:rFonts w:asciiTheme="majorHAnsi" w:hAnsiTheme="majorHAnsi" w:cstheme="majorHAnsi"/>
        </w:rPr>
        <w:t>in the failure to tell not just the truth but the whole truth regarding ownership.</w:t>
      </w:r>
    </w:p>
    <w:p w14:paraId="00D9C638" w14:textId="77777777" w:rsidR="00B82A0C" w:rsidRDefault="00B82A0C" w:rsidP="00AF6BF5">
      <w:pPr>
        <w:spacing w:after="40" w:line="240" w:lineRule="auto"/>
        <w:jc w:val="left"/>
        <w:rPr>
          <w:rFonts w:asciiTheme="majorHAnsi" w:hAnsiTheme="majorHAnsi" w:cstheme="majorHAnsi"/>
        </w:rPr>
      </w:pPr>
    </w:p>
    <w:p w14:paraId="3E4A6CD1" w14:textId="0F671693" w:rsidR="00BF0F9D" w:rsidRPr="00BE4D5F" w:rsidRDefault="00BF0F9D" w:rsidP="00AF6BF5">
      <w:pPr>
        <w:spacing w:after="40" w:line="240" w:lineRule="auto"/>
        <w:jc w:val="left"/>
        <w:rPr>
          <w:rFonts w:asciiTheme="majorHAnsi" w:hAnsiTheme="majorHAnsi" w:cstheme="majorHAnsi"/>
        </w:rPr>
      </w:pPr>
      <w:r w:rsidRPr="00BE4D5F">
        <w:rPr>
          <w:rFonts w:asciiTheme="majorHAnsi" w:hAnsiTheme="majorHAnsi" w:cstheme="majorHAnsi"/>
        </w:rPr>
        <w:t>This topic has also struck the Supreme Court as one which demands full debate but, of course, the</w:t>
      </w:r>
    </w:p>
    <w:p w14:paraId="483D54A8" w14:textId="77777777" w:rsidR="00BF0F9D" w:rsidRPr="00BE4D5F" w:rsidRDefault="00BF0F9D" w:rsidP="00AF6BF5">
      <w:pPr>
        <w:spacing w:after="40" w:line="240" w:lineRule="auto"/>
        <w:jc w:val="left"/>
        <w:rPr>
          <w:rFonts w:asciiTheme="majorHAnsi" w:hAnsiTheme="majorHAnsi" w:cstheme="majorHAnsi"/>
        </w:rPr>
      </w:pPr>
      <w:r w:rsidRPr="00BE4D5F">
        <w:rPr>
          <w:rFonts w:asciiTheme="majorHAnsi" w:hAnsiTheme="majorHAnsi" w:cstheme="majorHAnsi"/>
        </w:rPr>
        <w:t>Court can (perhaps frustratingly) only deal with the issues which arise in those cases which arrive in</w:t>
      </w:r>
    </w:p>
    <w:p w14:paraId="73E59CDA" w14:textId="77777777" w:rsidR="00BF0F9D" w:rsidRPr="00BE4D5F" w:rsidRDefault="00BF0F9D" w:rsidP="00AF6BF5">
      <w:pPr>
        <w:spacing w:after="40" w:line="240" w:lineRule="auto"/>
        <w:jc w:val="left"/>
        <w:rPr>
          <w:rFonts w:asciiTheme="majorHAnsi" w:hAnsiTheme="majorHAnsi" w:cstheme="majorHAnsi"/>
        </w:rPr>
      </w:pPr>
      <w:r w:rsidRPr="00BE4D5F">
        <w:rPr>
          <w:rFonts w:asciiTheme="majorHAnsi" w:hAnsiTheme="majorHAnsi" w:cstheme="majorHAnsi"/>
        </w:rPr>
        <w:t>its list. Actually, members of the Court have effectively signalled that they are on the lookout for a</w:t>
      </w:r>
    </w:p>
    <w:p w14:paraId="4ABF3FA5" w14:textId="77777777" w:rsidR="00BF0F9D" w:rsidRPr="00BE4D5F" w:rsidRDefault="00BF0F9D" w:rsidP="00AF6BF5">
      <w:pPr>
        <w:spacing w:after="40" w:line="240" w:lineRule="auto"/>
        <w:jc w:val="left"/>
        <w:rPr>
          <w:rFonts w:asciiTheme="majorHAnsi" w:hAnsiTheme="majorHAnsi" w:cstheme="majorHAnsi"/>
        </w:rPr>
      </w:pPr>
      <w:r w:rsidRPr="00BE4D5F">
        <w:rPr>
          <w:rFonts w:asciiTheme="majorHAnsi" w:hAnsiTheme="majorHAnsi" w:cstheme="majorHAnsi"/>
        </w:rPr>
        <w:t>suitable case. In a “Determination” declining to entertain an appeal, on other grounds, in Pepper v</w:t>
      </w:r>
    </w:p>
    <w:p w14:paraId="0C54958A" w14:textId="2AEDE271" w:rsidR="0064458F" w:rsidRDefault="00BF0F9D" w:rsidP="00AF6BF5">
      <w:pPr>
        <w:spacing w:after="40" w:line="240" w:lineRule="auto"/>
        <w:jc w:val="left"/>
        <w:rPr>
          <w:rFonts w:asciiTheme="majorHAnsi" w:hAnsiTheme="majorHAnsi" w:cstheme="majorHAnsi"/>
          <w:i/>
          <w:iCs/>
        </w:rPr>
      </w:pPr>
      <w:r w:rsidRPr="00BE4D5F">
        <w:rPr>
          <w:rFonts w:asciiTheme="majorHAnsi" w:hAnsiTheme="majorHAnsi" w:cstheme="majorHAnsi"/>
        </w:rPr>
        <w:t>Jenkins 2020 IESC DET 118</w:t>
      </w:r>
      <w:r>
        <w:rPr>
          <w:rFonts w:asciiTheme="majorHAnsi" w:hAnsiTheme="majorHAnsi" w:cstheme="majorHAnsi"/>
        </w:rPr>
        <w:t>, t</w:t>
      </w:r>
      <w:r w:rsidRPr="00BE4D5F">
        <w:rPr>
          <w:rFonts w:asciiTheme="majorHAnsi" w:hAnsiTheme="majorHAnsi" w:cstheme="majorHAnsi"/>
        </w:rPr>
        <w:t>he Supreme Court</w:t>
      </w:r>
      <w:r>
        <w:rPr>
          <w:rFonts w:asciiTheme="majorHAnsi" w:hAnsiTheme="majorHAnsi" w:cstheme="majorHAnsi"/>
        </w:rPr>
        <w:t xml:space="preserve"> noted as follows</w:t>
      </w:r>
      <w:r w:rsidR="0064458F">
        <w:rPr>
          <w:rFonts w:asciiTheme="majorHAnsi" w:hAnsiTheme="majorHAnsi" w:cstheme="majorHAnsi"/>
        </w:rPr>
        <w:t>:</w:t>
      </w:r>
    </w:p>
    <w:p w14:paraId="3695C686" w14:textId="77777777" w:rsidR="0064458F" w:rsidRDefault="0064458F" w:rsidP="00AF6BF5">
      <w:pPr>
        <w:spacing w:after="40" w:line="240" w:lineRule="auto"/>
        <w:jc w:val="left"/>
        <w:rPr>
          <w:rFonts w:asciiTheme="majorHAnsi" w:hAnsiTheme="majorHAnsi" w:cstheme="majorHAnsi"/>
          <w:i/>
          <w:iCs/>
        </w:rPr>
      </w:pPr>
    </w:p>
    <w:p w14:paraId="608898C3" w14:textId="23F985FB" w:rsidR="00AF6BF5" w:rsidRDefault="00BF0F9D" w:rsidP="00AF6BF5">
      <w:pPr>
        <w:spacing w:after="40" w:line="240" w:lineRule="auto"/>
        <w:jc w:val="left"/>
        <w:rPr>
          <w:rFonts w:asciiTheme="majorHAnsi" w:hAnsiTheme="majorHAnsi" w:cstheme="majorHAnsi"/>
        </w:rPr>
      </w:pPr>
      <w:r w:rsidRPr="00D61DB0">
        <w:rPr>
          <w:rFonts w:asciiTheme="majorHAnsi" w:hAnsiTheme="majorHAnsi" w:cstheme="majorHAnsi"/>
          <w:i/>
          <w:iCs/>
        </w:rPr>
        <w:t xml:space="preserve"> “The Court does not exclude the possibility that, in a suitable case, the entitlement of the transferor of the beneficial interest in a security who retains the legal title to seek an order for possession might meet the constitutional threshold but the present application do</w:t>
      </w:r>
      <w:r w:rsidR="00B82A0C" w:rsidRPr="00D61DB0">
        <w:rPr>
          <w:rFonts w:asciiTheme="majorHAnsi" w:hAnsiTheme="majorHAnsi" w:cstheme="majorHAnsi"/>
          <w:i/>
          <w:iCs/>
        </w:rPr>
        <w:t>e</w:t>
      </w:r>
      <w:r w:rsidRPr="00D61DB0">
        <w:rPr>
          <w:rFonts w:asciiTheme="majorHAnsi" w:hAnsiTheme="majorHAnsi" w:cstheme="majorHAnsi"/>
          <w:i/>
          <w:iCs/>
        </w:rPr>
        <w:t>s not raise that issue.”</w:t>
      </w:r>
    </w:p>
    <w:p w14:paraId="48D12A7D" w14:textId="77777777" w:rsidR="00AF6BF5" w:rsidRDefault="00AF6BF5" w:rsidP="00AF6BF5">
      <w:pPr>
        <w:spacing w:after="40" w:line="240" w:lineRule="auto"/>
        <w:jc w:val="left"/>
        <w:rPr>
          <w:rFonts w:asciiTheme="majorHAnsi" w:hAnsiTheme="majorHAnsi" w:cstheme="majorHAnsi"/>
        </w:rPr>
      </w:pPr>
    </w:p>
    <w:p w14:paraId="104C6EE1" w14:textId="73596DAB" w:rsidR="00BF0F9D" w:rsidRPr="00BE4D5F" w:rsidRDefault="00BF0F9D" w:rsidP="00AF6BF5">
      <w:pPr>
        <w:spacing w:after="40" w:line="240" w:lineRule="auto"/>
        <w:jc w:val="left"/>
        <w:rPr>
          <w:rFonts w:asciiTheme="majorHAnsi" w:hAnsiTheme="majorHAnsi" w:cstheme="majorHAnsi"/>
        </w:rPr>
      </w:pPr>
      <w:r w:rsidRPr="00BE4D5F">
        <w:rPr>
          <w:rFonts w:asciiTheme="majorHAnsi" w:hAnsiTheme="majorHAnsi" w:cstheme="majorHAnsi"/>
        </w:rPr>
        <w:t>This may be ominous news for credit servicers. It also suggests that s.31 of the Registration of Title</w:t>
      </w:r>
    </w:p>
    <w:p w14:paraId="5F466D47" w14:textId="12EEB0C9" w:rsidR="00BF0F9D" w:rsidRPr="00BE4D5F" w:rsidRDefault="00BF0F9D" w:rsidP="00AF6BF5">
      <w:pPr>
        <w:spacing w:after="40" w:line="240" w:lineRule="auto"/>
        <w:jc w:val="left"/>
        <w:rPr>
          <w:rFonts w:asciiTheme="majorHAnsi" w:hAnsiTheme="majorHAnsi" w:cstheme="majorHAnsi"/>
        </w:rPr>
      </w:pPr>
      <w:r w:rsidRPr="00BE4D5F">
        <w:rPr>
          <w:rFonts w:asciiTheme="majorHAnsi" w:hAnsiTheme="majorHAnsi" w:cstheme="majorHAnsi"/>
        </w:rPr>
        <w:t>Act is no longer fit for purpose. That Act dates back to a time when mortgages were not collater</w:t>
      </w:r>
      <w:r w:rsidR="002F2392">
        <w:rPr>
          <w:rFonts w:asciiTheme="majorHAnsi" w:hAnsiTheme="majorHAnsi" w:cstheme="majorHAnsi"/>
        </w:rPr>
        <w:t>al</w:t>
      </w:r>
      <w:r w:rsidRPr="00BE4D5F">
        <w:rPr>
          <w:rFonts w:asciiTheme="majorHAnsi" w:hAnsiTheme="majorHAnsi" w:cstheme="majorHAnsi"/>
        </w:rPr>
        <w:t>ised.</w:t>
      </w:r>
    </w:p>
    <w:p w14:paraId="2BDB17D5" w14:textId="29414C9E" w:rsidR="00BF0F9D" w:rsidRPr="00692396" w:rsidRDefault="00BF0F9D" w:rsidP="00AF6BF5">
      <w:pPr>
        <w:spacing w:after="40" w:line="240" w:lineRule="auto"/>
        <w:jc w:val="left"/>
        <w:rPr>
          <w:rFonts w:asciiTheme="majorHAnsi" w:hAnsiTheme="majorHAnsi" w:cstheme="majorHAnsi"/>
        </w:rPr>
      </w:pPr>
      <w:r w:rsidRPr="00BE4D5F">
        <w:rPr>
          <w:rFonts w:asciiTheme="majorHAnsi" w:hAnsiTheme="majorHAnsi" w:cstheme="majorHAnsi"/>
        </w:rPr>
        <w:t xml:space="preserve">“Owner”? There is no point </w:t>
      </w:r>
      <w:r w:rsidR="000E0658">
        <w:rPr>
          <w:rFonts w:asciiTheme="majorHAnsi" w:hAnsiTheme="majorHAnsi" w:cstheme="majorHAnsi"/>
        </w:rPr>
        <w:t>i</w:t>
      </w:r>
      <w:r w:rsidRPr="00BE4D5F">
        <w:rPr>
          <w:rFonts w:asciiTheme="majorHAnsi" w:hAnsiTheme="majorHAnsi" w:cstheme="majorHAnsi"/>
        </w:rPr>
        <w:t>n being the registered “owner”, if</w:t>
      </w:r>
      <w:r w:rsidRPr="00692396">
        <w:rPr>
          <w:rFonts w:asciiTheme="majorHAnsi" w:hAnsiTheme="majorHAnsi" w:cstheme="majorHAnsi"/>
        </w:rPr>
        <w:t xml:space="preserve"> only the beneficial owner can sue</w:t>
      </w:r>
    </w:p>
    <w:p w14:paraId="0F2E1475" w14:textId="77777777" w:rsidR="00BF0F9D" w:rsidRPr="00BE4D5F" w:rsidRDefault="00BF0F9D" w:rsidP="00AF6BF5">
      <w:pPr>
        <w:spacing w:after="40" w:line="240" w:lineRule="auto"/>
        <w:jc w:val="left"/>
        <w:rPr>
          <w:rFonts w:asciiTheme="majorHAnsi" w:hAnsiTheme="majorHAnsi" w:cstheme="majorHAnsi"/>
        </w:rPr>
      </w:pPr>
      <w:r w:rsidRPr="00692396">
        <w:rPr>
          <w:rFonts w:asciiTheme="majorHAnsi" w:hAnsiTheme="majorHAnsi" w:cstheme="majorHAnsi"/>
        </w:rPr>
        <w:t>for possession</w:t>
      </w:r>
      <w:r w:rsidRPr="00BE4D5F">
        <w:rPr>
          <w:rFonts w:asciiTheme="majorHAnsi" w:hAnsiTheme="majorHAnsi" w:cstheme="majorHAnsi"/>
        </w:rPr>
        <w:t>. There is nothing to be gained from the (misplaced in my view) reading of the section</w:t>
      </w:r>
    </w:p>
    <w:p w14:paraId="5A37CAEE" w14:textId="77777777" w:rsidR="00BF0F9D" w:rsidRDefault="00BF0F9D" w:rsidP="00AF6BF5">
      <w:pPr>
        <w:spacing w:after="40" w:line="240" w:lineRule="auto"/>
        <w:jc w:val="left"/>
        <w:rPr>
          <w:rFonts w:asciiTheme="majorHAnsi" w:hAnsiTheme="majorHAnsi" w:cstheme="majorHAnsi"/>
        </w:rPr>
      </w:pPr>
      <w:r w:rsidRPr="00BE4D5F">
        <w:rPr>
          <w:rFonts w:asciiTheme="majorHAnsi" w:hAnsiTheme="majorHAnsi" w:cstheme="majorHAnsi"/>
        </w:rPr>
        <w:t xml:space="preserve">to the effect that the registered “ownership” is presumed to be “conclusive”. </w:t>
      </w:r>
      <w:r w:rsidRPr="001828DC">
        <w:rPr>
          <w:rFonts w:asciiTheme="majorHAnsi" w:hAnsiTheme="majorHAnsi" w:cstheme="majorHAnsi"/>
        </w:rPr>
        <w:t>Conclusive of what?</w:t>
      </w:r>
    </w:p>
    <w:p w14:paraId="2462B003" w14:textId="17C99841" w:rsidR="007D6900" w:rsidRDefault="00BF0F9D" w:rsidP="00AF6BF5">
      <w:pPr>
        <w:spacing w:after="40" w:line="240" w:lineRule="auto"/>
        <w:jc w:val="left"/>
        <w:rPr>
          <w:rFonts w:asciiTheme="majorHAnsi" w:hAnsiTheme="majorHAnsi" w:cstheme="majorHAnsi"/>
        </w:rPr>
      </w:pPr>
      <w:r w:rsidRPr="00BE4D5F">
        <w:rPr>
          <w:rFonts w:asciiTheme="majorHAnsi" w:hAnsiTheme="majorHAnsi" w:cstheme="majorHAnsi"/>
        </w:rPr>
        <w:t xml:space="preserve">Forget about s.31. Prove your title the old way. </w:t>
      </w:r>
      <w:r w:rsidRPr="00692396">
        <w:rPr>
          <w:rFonts w:asciiTheme="majorHAnsi" w:hAnsiTheme="majorHAnsi" w:cstheme="majorHAnsi"/>
        </w:rPr>
        <w:t>The registered ownership doesn’t cut it</w:t>
      </w:r>
      <w:r>
        <w:rPr>
          <w:rFonts w:asciiTheme="majorHAnsi" w:hAnsiTheme="majorHAnsi" w:cstheme="majorHAnsi"/>
          <w:b/>
          <w:bCs/>
        </w:rPr>
        <w:t>.</w:t>
      </w:r>
    </w:p>
    <w:p w14:paraId="34BF4386" w14:textId="77777777" w:rsidR="00BF0F9D" w:rsidRPr="00925D7A" w:rsidRDefault="00BF0F9D" w:rsidP="00AF6BF5">
      <w:pPr>
        <w:spacing w:after="40" w:line="240" w:lineRule="auto"/>
        <w:jc w:val="left"/>
        <w:rPr>
          <w:rFonts w:asciiTheme="majorHAnsi" w:hAnsiTheme="majorHAnsi" w:cstheme="majorHAnsi"/>
        </w:rPr>
      </w:pPr>
    </w:p>
    <w:p w14:paraId="5DC029EB" w14:textId="04AA63F6" w:rsidR="00A7644D" w:rsidRDefault="007D6900" w:rsidP="00AF6BF5">
      <w:pPr>
        <w:spacing w:line="240" w:lineRule="auto"/>
        <w:jc w:val="left"/>
        <w:rPr>
          <w:rFonts w:asciiTheme="majorHAnsi" w:hAnsiTheme="majorHAnsi" w:cstheme="majorHAnsi"/>
        </w:rPr>
      </w:pPr>
      <w:r w:rsidRPr="00925D7A">
        <w:rPr>
          <w:rFonts w:asciiTheme="majorHAnsi" w:hAnsiTheme="majorHAnsi" w:cstheme="majorHAnsi"/>
        </w:rPr>
        <w:t xml:space="preserve">These are technicalities (apart from perjury, which is, to my mind, foundational) and one can understand why courts have long upheld the moral hazard viewpoint and are loathe to refuse a lender the orders he seeks against a defaulting borrower when a societal lynchpin might be destabilised, but </w:t>
      </w:r>
      <w:r w:rsidRPr="002F2392">
        <w:rPr>
          <w:rFonts w:asciiTheme="majorHAnsi" w:hAnsiTheme="majorHAnsi" w:cstheme="majorHAnsi"/>
        </w:rPr>
        <w:t>two wrongs don’t make a right</w:t>
      </w:r>
      <w:r w:rsidR="00BF0F9D" w:rsidRPr="002F2392">
        <w:rPr>
          <w:rFonts w:asciiTheme="majorHAnsi" w:hAnsiTheme="majorHAnsi" w:cstheme="majorHAnsi"/>
        </w:rPr>
        <w:t>.</w:t>
      </w:r>
    </w:p>
    <w:p w14:paraId="024D4AF0" w14:textId="77777777" w:rsidR="00E30FD9" w:rsidRDefault="00E30FD9" w:rsidP="00AF6BF5">
      <w:pPr>
        <w:spacing w:line="240" w:lineRule="auto"/>
        <w:jc w:val="left"/>
        <w:rPr>
          <w:rFonts w:asciiTheme="majorHAnsi" w:hAnsiTheme="majorHAnsi" w:cstheme="majorHAnsi"/>
          <w:b/>
          <w:bCs/>
          <w:u w:val="single"/>
        </w:rPr>
      </w:pPr>
    </w:p>
    <w:p w14:paraId="74FBA395" w14:textId="77777777" w:rsidR="007F042E" w:rsidRPr="004B4D8B" w:rsidRDefault="007F042E" w:rsidP="00AF6BF5">
      <w:pPr>
        <w:spacing w:line="240" w:lineRule="auto"/>
        <w:jc w:val="left"/>
        <w:rPr>
          <w:rFonts w:asciiTheme="majorHAnsi" w:hAnsiTheme="majorHAnsi" w:cstheme="majorHAnsi"/>
          <w:b/>
          <w:bCs/>
          <w:u w:val="single"/>
        </w:rPr>
      </w:pPr>
    </w:p>
    <w:p w14:paraId="401BC6E7" w14:textId="1BACACD7" w:rsidR="00BF0F9D" w:rsidRPr="004B4D8B" w:rsidRDefault="00A7644D" w:rsidP="00AF6BF5">
      <w:pPr>
        <w:spacing w:line="240" w:lineRule="auto"/>
        <w:jc w:val="left"/>
        <w:rPr>
          <w:rFonts w:asciiTheme="majorHAnsi" w:hAnsiTheme="majorHAnsi" w:cstheme="majorHAnsi"/>
          <w:u w:val="single"/>
        </w:rPr>
      </w:pPr>
      <w:r w:rsidRPr="004B4D8B">
        <w:rPr>
          <w:rFonts w:asciiTheme="majorHAnsi" w:hAnsiTheme="majorHAnsi" w:cstheme="majorHAnsi"/>
          <w:b/>
          <w:bCs/>
          <w:u w:val="single"/>
        </w:rPr>
        <w:lastRenderedPageBreak/>
        <w:t>“Unfair” terms: negative clearance</w:t>
      </w:r>
    </w:p>
    <w:p w14:paraId="605CDC5E" w14:textId="77777777" w:rsidR="00F56064" w:rsidRDefault="00BF0F9D" w:rsidP="00AF6BF5">
      <w:pPr>
        <w:spacing w:after="40" w:line="240" w:lineRule="auto"/>
        <w:jc w:val="left"/>
        <w:rPr>
          <w:rFonts w:asciiTheme="majorHAnsi" w:hAnsiTheme="majorHAnsi" w:cstheme="majorHAnsi"/>
        </w:rPr>
      </w:pPr>
      <w:r w:rsidRPr="00925D7A">
        <w:rPr>
          <w:rFonts w:asciiTheme="majorHAnsi" w:hAnsiTheme="majorHAnsi" w:cstheme="majorHAnsi"/>
        </w:rPr>
        <w:t>It is in consumer contracts (contracts of “</w:t>
      </w:r>
      <w:r w:rsidRPr="00925D7A">
        <w:rPr>
          <w:rFonts w:asciiTheme="majorHAnsi" w:hAnsiTheme="majorHAnsi" w:cstheme="majorHAnsi"/>
          <w:i/>
          <w:iCs/>
        </w:rPr>
        <w:t>adhesion</w:t>
      </w:r>
      <w:r w:rsidRPr="00925D7A">
        <w:rPr>
          <w:rFonts w:asciiTheme="majorHAnsi" w:hAnsiTheme="majorHAnsi" w:cstheme="majorHAnsi"/>
        </w:rPr>
        <w:t>” – ta</w:t>
      </w:r>
      <w:r>
        <w:rPr>
          <w:rFonts w:asciiTheme="majorHAnsi" w:hAnsiTheme="majorHAnsi" w:cstheme="majorHAnsi"/>
        </w:rPr>
        <w:t>ke</w:t>
      </w:r>
      <w:r w:rsidRPr="00925D7A">
        <w:rPr>
          <w:rFonts w:asciiTheme="majorHAnsi" w:hAnsiTheme="majorHAnsi" w:cstheme="majorHAnsi"/>
        </w:rPr>
        <w:t xml:space="preserve"> it as you find it) that terms unfair to the consumer are most likely to be found. They may even be considered to be unfair if the small print language is unintelligible.</w:t>
      </w:r>
      <w:r w:rsidRPr="00BF0F9D">
        <w:rPr>
          <w:rFonts w:asciiTheme="majorHAnsi" w:hAnsiTheme="majorHAnsi" w:cstheme="majorHAnsi"/>
        </w:rPr>
        <w:t xml:space="preserve"> </w:t>
      </w:r>
    </w:p>
    <w:p w14:paraId="43ECC35D" w14:textId="77777777" w:rsidR="00BF0F9D" w:rsidRDefault="00BF0F9D" w:rsidP="00AF6BF5">
      <w:pPr>
        <w:spacing w:after="40" w:line="240" w:lineRule="auto"/>
        <w:jc w:val="left"/>
        <w:rPr>
          <w:rFonts w:asciiTheme="majorHAnsi" w:hAnsiTheme="majorHAnsi" w:cstheme="majorHAnsi"/>
        </w:rPr>
      </w:pPr>
    </w:p>
    <w:p w14:paraId="3386E8AC" w14:textId="7B06836C" w:rsidR="00BF0F9D" w:rsidRPr="00BE4D5F" w:rsidRDefault="00BF0F9D" w:rsidP="00AF6BF5">
      <w:pPr>
        <w:spacing w:after="40" w:line="240" w:lineRule="auto"/>
        <w:jc w:val="left"/>
        <w:rPr>
          <w:rFonts w:asciiTheme="majorHAnsi" w:hAnsiTheme="majorHAnsi" w:cstheme="majorHAnsi"/>
        </w:rPr>
      </w:pPr>
      <w:r w:rsidRPr="00BE4D5F">
        <w:rPr>
          <w:rFonts w:asciiTheme="majorHAnsi" w:hAnsiTheme="majorHAnsi" w:cstheme="majorHAnsi"/>
        </w:rPr>
        <w:t>The court will not look at contract terms which have been “individually” negotiated (or at core</w:t>
      </w:r>
    </w:p>
    <w:p w14:paraId="57C56477" w14:textId="48A4CEBD" w:rsidR="00BF0F9D" w:rsidRPr="00BE4D5F" w:rsidRDefault="00BF0F9D" w:rsidP="00AF6BF5">
      <w:pPr>
        <w:spacing w:after="40" w:line="240" w:lineRule="auto"/>
        <w:jc w:val="left"/>
        <w:rPr>
          <w:rFonts w:asciiTheme="majorHAnsi" w:hAnsiTheme="majorHAnsi" w:cstheme="majorHAnsi"/>
        </w:rPr>
      </w:pPr>
      <w:r w:rsidRPr="00BE4D5F">
        <w:rPr>
          <w:rFonts w:asciiTheme="majorHAnsi" w:hAnsiTheme="majorHAnsi" w:cstheme="majorHAnsi"/>
        </w:rPr>
        <w:t>terms, the main subject matter, the price etc., which are “in plain intelligible language”)</w:t>
      </w:r>
      <w:r>
        <w:rPr>
          <w:rFonts w:asciiTheme="majorHAnsi" w:hAnsiTheme="majorHAnsi" w:cstheme="majorHAnsi"/>
        </w:rPr>
        <w:t>.</w:t>
      </w:r>
      <w:r w:rsidRPr="00BE4D5F">
        <w:rPr>
          <w:rFonts w:asciiTheme="majorHAnsi" w:hAnsiTheme="majorHAnsi" w:cstheme="majorHAnsi"/>
        </w:rPr>
        <w:t xml:space="preserve"> </w:t>
      </w:r>
      <w:r>
        <w:rPr>
          <w:rFonts w:asciiTheme="majorHAnsi" w:hAnsiTheme="majorHAnsi" w:cstheme="majorHAnsi"/>
        </w:rPr>
        <w:t>O</w:t>
      </w:r>
      <w:r w:rsidRPr="00BE4D5F">
        <w:rPr>
          <w:rFonts w:asciiTheme="majorHAnsi" w:hAnsiTheme="majorHAnsi" w:cstheme="majorHAnsi"/>
        </w:rPr>
        <w:t xml:space="preserve">nly </w:t>
      </w:r>
      <w:r>
        <w:rPr>
          <w:rFonts w:asciiTheme="majorHAnsi" w:hAnsiTheme="majorHAnsi" w:cstheme="majorHAnsi"/>
        </w:rPr>
        <w:t xml:space="preserve">at </w:t>
      </w:r>
      <w:r w:rsidRPr="00BE4D5F">
        <w:rPr>
          <w:rFonts w:asciiTheme="majorHAnsi" w:hAnsiTheme="majorHAnsi" w:cstheme="majorHAnsi"/>
        </w:rPr>
        <w:t>terms</w:t>
      </w:r>
      <w:r w:rsidR="00AF6BF5">
        <w:rPr>
          <w:rFonts w:asciiTheme="majorHAnsi" w:hAnsiTheme="majorHAnsi" w:cstheme="majorHAnsi"/>
        </w:rPr>
        <w:t xml:space="preserve"> </w:t>
      </w:r>
      <w:r w:rsidRPr="00BE4D5F">
        <w:rPr>
          <w:rFonts w:asciiTheme="majorHAnsi" w:hAnsiTheme="majorHAnsi" w:cstheme="majorHAnsi"/>
        </w:rPr>
        <w:t>(“of adhesion”) which are the same for all customers. Any</w:t>
      </w:r>
      <w:r w:rsidR="00D61DB0">
        <w:rPr>
          <w:rFonts w:asciiTheme="majorHAnsi" w:hAnsiTheme="majorHAnsi" w:cstheme="majorHAnsi"/>
        </w:rPr>
        <w:t xml:space="preserve"> </w:t>
      </w:r>
      <w:r w:rsidRPr="00BE4D5F">
        <w:rPr>
          <w:rFonts w:asciiTheme="majorHAnsi" w:hAnsiTheme="majorHAnsi" w:cstheme="majorHAnsi"/>
        </w:rPr>
        <w:t>non-negotiable</w:t>
      </w:r>
      <w:r w:rsidR="00D61DB0">
        <w:rPr>
          <w:rFonts w:asciiTheme="majorHAnsi" w:hAnsiTheme="majorHAnsi" w:cstheme="majorHAnsi"/>
        </w:rPr>
        <w:t xml:space="preserve"> </w:t>
      </w:r>
      <w:r w:rsidRPr="00BE4D5F">
        <w:rPr>
          <w:rFonts w:asciiTheme="majorHAnsi" w:hAnsiTheme="majorHAnsi" w:cstheme="majorHAnsi"/>
        </w:rPr>
        <w:t>term may be</w:t>
      </w:r>
    </w:p>
    <w:p w14:paraId="4AAC0791" w14:textId="77777777" w:rsidR="00BF0F9D" w:rsidRPr="00D61DB0" w:rsidRDefault="00BF0F9D" w:rsidP="00AF6BF5">
      <w:pPr>
        <w:spacing w:after="40" w:line="240" w:lineRule="auto"/>
        <w:jc w:val="left"/>
        <w:rPr>
          <w:rFonts w:asciiTheme="majorHAnsi" w:hAnsiTheme="majorHAnsi" w:cstheme="majorHAnsi"/>
          <w:i/>
          <w:iCs/>
        </w:rPr>
      </w:pPr>
      <w:r w:rsidRPr="00BE4D5F">
        <w:rPr>
          <w:rFonts w:asciiTheme="majorHAnsi" w:hAnsiTheme="majorHAnsi" w:cstheme="majorHAnsi"/>
        </w:rPr>
        <w:t xml:space="preserve">determined to be unfair where, </w:t>
      </w:r>
      <w:r w:rsidRPr="00D61DB0">
        <w:rPr>
          <w:rFonts w:asciiTheme="majorHAnsi" w:hAnsiTheme="majorHAnsi" w:cstheme="majorHAnsi"/>
          <w:i/>
          <w:iCs/>
        </w:rPr>
        <w:t>“contrary to the requirement of good faith, it causes a significant</w:t>
      </w:r>
    </w:p>
    <w:p w14:paraId="44AB1374" w14:textId="7D8BB4FF" w:rsidR="00BF0F9D" w:rsidRPr="00D61DB0" w:rsidRDefault="00BF0F9D" w:rsidP="00AF6BF5">
      <w:pPr>
        <w:spacing w:after="40" w:line="240" w:lineRule="auto"/>
        <w:jc w:val="left"/>
        <w:rPr>
          <w:rFonts w:asciiTheme="majorHAnsi" w:hAnsiTheme="majorHAnsi" w:cstheme="majorHAnsi"/>
          <w:i/>
          <w:iCs/>
        </w:rPr>
      </w:pPr>
      <w:r w:rsidRPr="00D61DB0">
        <w:rPr>
          <w:rFonts w:asciiTheme="majorHAnsi" w:hAnsiTheme="majorHAnsi" w:cstheme="majorHAnsi"/>
          <w:i/>
          <w:iCs/>
        </w:rPr>
        <w:t xml:space="preserve">imbalance in the </w:t>
      </w:r>
      <w:r w:rsidR="00D61DB0" w:rsidRPr="00D61DB0">
        <w:rPr>
          <w:rFonts w:asciiTheme="majorHAnsi" w:hAnsiTheme="majorHAnsi" w:cstheme="majorHAnsi"/>
          <w:i/>
          <w:iCs/>
        </w:rPr>
        <w:t>p</w:t>
      </w:r>
      <w:r w:rsidRPr="00D61DB0">
        <w:rPr>
          <w:rFonts w:asciiTheme="majorHAnsi" w:hAnsiTheme="majorHAnsi" w:cstheme="majorHAnsi"/>
          <w:i/>
          <w:iCs/>
        </w:rPr>
        <w:t>arties’ rights and obligations under the contract to the detriment of the</w:t>
      </w:r>
    </w:p>
    <w:p w14:paraId="72161172" w14:textId="77777777" w:rsidR="00BF0F9D" w:rsidRPr="00D61DB0" w:rsidRDefault="00BF0F9D" w:rsidP="00AF6BF5">
      <w:pPr>
        <w:spacing w:after="40" w:line="240" w:lineRule="auto"/>
        <w:jc w:val="left"/>
        <w:rPr>
          <w:rFonts w:asciiTheme="majorHAnsi" w:hAnsiTheme="majorHAnsi" w:cstheme="majorHAnsi"/>
          <w:i/>
          <w:iCs/>
        </w:rPr>
      </w:pPr>
      <w:r w:rsidRPr="00D61DB0">
        <w:rPr>
          <w:rFonts w:asciiTheme="majorHAnsi" w:hAnsiTheme="majorHAnsi" w:cstheme="majorHAnsi"/>
          <w:i/>
          <w:iCs/>
        </w:rPr>
        <w:t>consumer.”</w:t>
      </w:r>
    </w:p>
    <w:p w14:paraId="53A8271E" w14:textId="77777777" w:rsidR="00BF0F9D" w:rsidRPr="00BE4D5F" w:rsidRDefault="00BF0F9D" w:rsidP="00AF6BF5">
      <w:pPr>
        <w:spacing w:after="40" w:line="240" w:lineRule="auto"/>
        <w:jc w:val="left"/>
        <w:rPr>
          <w:rFonts w:asciiTheme="majorHAnsi" w:hAnsiTheme="majorHAnsi" w:cstheme="majorHAnsi"/>
        </w:rPr>
      </w:pPr>
    </w:p>
    <w:p w14:paraId="74F18888" w14:textId="77777777" w:rsidR="00BF0F9D" w:rsidRPr="00BE4D5F" w:rsidRDefault="00BF0F9D" w:rsidP="00AF6BF5">
      <w:pPr>
        <w:spacing w:after="40" w:line="240" w:lineRule="auto"/>
        <w:jc w:val="left"/>
        <w:rPr>
          <w:rFonts w:asciiTheme="majorHAnsi" w:hAnsiTheme="majorHAnsi" w:cstheme="majorHAnsi"/>
        </w:rPr>
      </w:pPr>
      <w:r w:rsidRPr="00BE4D5F">
        <w:rPr>
          <w:rFonts w:asciiTheme="majorHAnsi" w:hAnsiTheme="majorHAnsi" w:cstheme="majorHAnsi"/>
        </w:rPr>
        <w:t>The scope of the review of these terms includes “all circumstances attending the conclusion of the</w:t>
      </w:r>
    </w:p>
    <w:p w14:paraId="5BF5AF29" w14:textId="4839F1D1" w:rsidR="00CA0C83" w:rsidRPr="00AF6BF5" w:rsidRDefault="00BF0F9D" w:rsidP="00AF6BF5">
      <w:pPr>
        <w:spacing w:after="40" w:line="240" w:lineRule="auto"/>
        <w:jc w:val="left"/>
        <w:rPr>
          <w:rFonts w:asciiTheme="majorHAnsi" w:hAnsiTheme="majorHAnsi" w:cstheme="majorHAnsi"/>
        </w:rPr>
      </w:pPr>
      <w:r w:rsidRPr="00BE4D5F">
        <w:rPr>
          <w:rFonts w:asciiTheme="majorHAnsi" w:hAnsiTheme="majorHAnsi" w:cstheme="majorHAnsi"/>
        </w:rPr>
        <w:t xml:space="preserve">contract.” </w:t>
      </w:r>
      <w:r w:rsidR="00CA0C83" w:rsidRPr="00925D7A">
        <w:rPr>
          <w:rFonts w:asciiTheme="majorHAnsi" w:hAnsiTheme="majorHAnsi" w:cstheme="majorHAnsi"/>
        </w:rPr>
        <w:t>Terms which were not individually negotiated might still be nuanced. A</w:t>
      </w:r>
      <w:r w:rsidR="00D61DB0">
        <w:rPr>
          <w:rFonts w:asciiTheme="majorHAnsi" w:hAnsiTheme="majorHAnsi" w:cstheme="majorHAnsi"/>
        </w:rPr>
        <w:t>.</w:t>
      </w:r>
      <w:r w:rsidR="00CA0C83" w:rsidRPr="00925D7A">
        <w:rPr>
          <w:rFonts w:asciiTheme="majorHAnsi" w:hAnsiTheme="majorHAnsi" w:cstheme="majorHAnsi"/>
        </w:rPr>
        <w:t>I</w:t>
      </w:r>
      <w:r w:rsidR="00D61DB0">
        <w:rPr>
          <w:rFonts w:asciiTheme="majorHAnsi" w:hAnsiTheme="majorHAnsi" w:cstheme="majorHAnsi"/>
        </w:rPr>
        <w:t xml:space="preserve">. </w:t>
      </w:r>
      <w:r w:rsidR="00CA0C83" w:rsidRPr="00925D7A">
        <w:rPr>
          <w:rFonts w:asciiTheme="majorHAnsi" w:hAnsiTheme="majorHAnsi" w:cstheme="majorHAnsi"/>
        </w:rPr>
        <w:t>might not pick it up. All</w:t>
      </w:r>
      <w:r w:rsidR="00CA0C83">
        <w:rPr>
          <w:rFonts w:asciiTheme="majorHAnsi" w:hAnsiTheme="majorHAnsi" w:cstheme="majorHAnsi"/>
        </w:rPr>
        <w:t xml:space="preserve"> </w:t>
      </w:r>
      <w:r w:rsidR="00CA0C83" w:rsidRPr="00925D7A">
        <w:rPr>
          <w:rFonts w:asciiTheme="majorHAnsi" w:hAnsiTheme="majorHAnsi" w:cstheme="majorHAnsi"/>
        </w:rPr>
        <w:t>contractual terms are factually contextuali</w:t>
      </w:r>
      <w:r w:rsidR="00CA0C83">
        <w:rPr>
          <w:rFonts w:asciiTheme="majorHAnsi" w:hAnsiTheme="majorHAnsi" w:cstheme="majorHAnsi"/>
        </w:rPr>
        <w:t>s</w:t>
      </w:r>
      <w:r w:rsidR="00CA0C83" w:rsidRPr="00925D7A">
        <w:rPr>
          <w:rFonts w:asciiTheme="majorHAnsi" w:hAnsiTheme="majorHAnsi" w:cstheme="majorHAnsi"/>
        </w:rPr>
        <w:t>ed. Interpreting them, on the balance of probability,</w:t>
      </w:r>
      <w:r w:rsidR="00AF6BF5">
        <w:rPr>
          <w:rFonts w:asciiTheme="majorHAnsi" w:hAnsiTheme="majorHAnsi" w:cstheme="majorHAnsi"/>
        </w:rPr>
        <w:t xml:space="preserve"> </w:t>
      </w:r>
      <w:r w:rsidR="00CA0C83" w:rsidRPr="00925D7A">
        <w:rPr>
          <w:rFonts w:asciiTheme="majorHAnsi" w:hAnsiTheme="majorHAnsi" w:cstheme="majorHAnsi"/>
        </w:rPr>
        <w:t>involves judg</w:t>
      </w:r>
      <w:r w:rsidR="00E30FD9">
        <w:rPr>
          <w:rFonts w:asciiTheme="majorHAnsi" w:hAnsiTheme="majorHAnsi" w:cstheme="majorHAnsi"/>
        </w:rPr>
        <w:t>e</w:t>
      </w:r>
      <w:r w:rsidR="00CA0C83" w:rsidRPr="00925D7A">
        <w:rPr>
          <w:rFonts w:asciiTheme="majorHAnsi" w:hAnsiTheme="majorHAnsi" w:cstheme="majorHAnsi"/>
        </w:rPr>
        <w:t>ment of evidence, and preferably not relying</w:t>
      </w:r>
      <w:r w:rsidR="00D61DB0">
        <w:rPr>
          <w:rFonts w:asciiTheme="majorHAnsi" w:hAnsiTheme="majorHAnsi" w:cstheme="majorHAnsi"/>
        </w:rPr>
        <w:t xml:space="preserve"> (</w:t>
      </w:r>
      <w:r w:rsidR="00CA0C83" w:rsidRPr="00925D7A">
        <w:rPr>
          <w:rFonts w:asciiTheme="majorHAnsi" w:hAnsiTheme="majorHAnsi" w:cstheme="majorHAnsi"/>
        </w:rPr>
        <w:t>hilariously</w:t>
      </w:r>
      <w:r w:rsidR="00D61DB0">
        <w:rPr>
          <w:rFonts w:asciiTheme="majorHAnsi" w:hAnsiTheme="majorHAnsi" w:cstheme="majorHAnsi"/>
        </w:rPr>
        <w:t xml:space="preserve">) </w:t>
      </w:r>
      <w:r w:rsidR="00CA0C83" w:rsidRPr="00925D7A">
        <w:rPr>
          <w:rFonts w:asciiTheme="majorHAnsi" w:hAnsiTheme="majorHAnsi" w:cstheme="majorHAnsi"/>
        </w:rPr>
        <w:t>on the oath as quality control</w:t>
      </w:r>
      <w:r w:rsidR="00AF6BF5">
        <w:rPr>
          <w:rFonts w:asciiTheme="majorHAnsi" w:hAnsiTheme="majorHAnsi" w:cstheme="majorHAnsi"/>
        </w:rPr>
        <w:t xml:space="preserve"> </w:t>
      </w:r>
      <w:r w:rsidR="00CA0C83" w:rsidRPr="00925D7A">
        <w:rPr>
          <w:rFonts w:asciiTheme="majorHAnsi" w:hAnsiTheme="majorHAnsi" w:cstheme="majorHAnsi"/>
        </w:rPr>
        <w:t>of evidence of code compliance. Commenting on the Judicial Review test of “substantial evidence”</w:t>
      </w:r>
      <w:r w:rsidR="00AF6BF5">
        <w:rPr>
          <w:rFonts w:asciiTheme="majorHAnsi" w:hAnsiTheme="majorHAnsi" w:cstheme="majorHAnsi"/>
        </w:rPr>
        <w:t xml:space="preserve"> </w:t>
      </w:r>
      <w:r w:rsidR="00CA0C83" w:rsidRPr="00925D7A">
        <w:rPr>
          <w:rFonts w:asciiTheme="majorHAnsi" w:hAnsiTheme="majorHAnsi" w:cstheme="majorHAnsi"/>
        </w:rPr>
        <w:t>supporting an agency’s finding, (Universal Camera 340 U.S. 474 1931), Mr. Justice Frankfurter said</w:t>
      </w:r>
      <w:r w:rsidR="00AF6BF5">
        <w:rPr>
          <w:rFonts w:asciiTheme="majorHAnsi" w:hAnsiTheme="majorHAnsi" w:cstheme="majorHAnsi"/>
        </w:rPr>
        <w:t xml:space="preserve"> </w:t>
      </w:r>
      <w:r w:rsidR="00CA0C83" w:rsidRPr="00925D7A">
        <w:rPr>
          <w:rFonts w:asciiTheme="majorHAnsi" w:hAnsiTheme="majorHAnsi" w:cstheme="majorHAnsi"/>
        </w:rPr>
        <w:t xml:space="preserve">that </w:t>
      </w:r>
      <w:r w:rsidR="00CA0C83" w:rsidRPr="00F56064">
        <w:rPr>
          <w:rFonts w:asciiTheme="majorHAnsi" w:hAnsiTheme="majorHAnsi" w:cstheme="majorHAnsi"/>
          <w:i/>
          <w:iCs/>
        </w:rPr>
        <w:t>“It is not permissible for courts to determine the substantiality of evidence without taking into</w:t>
      </w:r>
      <w:r w:rsidR="00AF6BF5">
        <w:rPr>
          <w:rFonts w:asciiTheme="majorHAnsi" w:hAnsiTheme="majorHAnsi" w:cstheme="majorHAnsi"/>
        </w:rPr>
        <w:t xml:space="preserve"> </w:t>
      </w:r>
      <w:r w:rsidR="00CA0C83" w:rsidRPr="00F56064">
        <w:rPr>
          <w:rFonts w:asciiTheme="majorHAnsi" w:hAnsiTheme="majorHAnsi" w:cstheme="majorHAnsi"/>
          <w:i/>
          <w:iCs/>
        </w:rPr>
        <w:t>account</w:t>
      </w:r>
      <w:r w:rsidR="00E30FD9">
        <w:rPr>
          <w:rFonts w:asciiTheme="majorHAnsi" w:hAnsiTheme="majorHAnsi" w:cstheme="majorHAnsi"/>
          <w:i/>
          <w:iCs/>
        </w:rPr>
        <w:t>..</w:t>
      </w:r>
      <w:r w:rsidR="00CA0C83" w:rsidRPr="00F56064">
        <w:rPr>
          <w:rFonts w:asciiTheme="majorHAnsi" w:hAnsiTheme="majorHAnsi" w:cstheme="majorHAnsi"/>
          <w:i/>
          <w:iCs/>
        </w:rPr>
        <w:t>.</w:t>
      </w:r>
      <w:r w:rsidR="00E30FD9">
        <w:rPr>
          <w:rFonts w:asciiTheme="majorHAnsi" w:hAnsiTheme="majorHAnsi" w:cstheme="majorHAnsi"/>
          <w:i/>
          <w:iCs/>
        </w:rPr>
        <w:t xml:space="preserve"> </w:t>
      </w:r>
      <w:r w:rsidR="00CA0C83" w:rsidRPr="00F56064">
        <w:rPr>
          <w:rFonts w:asciiTheme="majorHAnsi" w:hAnsiTheme="majorHAnsi" w:cstheme="majorHAnsi"/>
          <w:i/>
          <w:iCs/>
        </w:rPr>
        <w:t>whatever in the record fairly detracts from its weight.”</w:t>
      </w:r>
    </w:p>
    <w:p w14:paraId="1137380A" w14:textId="77777777" w:rsidR="00CA0C83" w:rsidRDefault="00CA0C83" w:rsidP="00AF6BF5">
      <w:pPr>
        <w:spacing w:after="40" w:line="240" w:lineRule="auto"/>
        <w:jc w:val="left"/>
        <w:rPr>
          <w:rFonts w:asciiTheme="majorHAnsi" w:hAnsiTheme="majorHAnsi" w:cstheme="majorHAnsi"/>
        </w:rPr>
      </w:pPr>
    </w:p>
    <w:p w14:paraId="710FB30D" w14:textId="09440317" w:rsidR="00BF0F9D" w:rsidRPr="00D61DB0" w:rsidRDefault="00BF0F9D" w:rsidP="00AF6BF5">
      <w:pPr>
        <w:spacing w:after="40" w:line="240" w:lineRule="auto"/>
        <w:jc w:val="left"/>
        <w:rPr>
          <w:rFonts w:asciiTheme="majorHAnsi" w:hAnsiTheme="majorHAnsi" w:cstheme="majorHAnsi"/>
          <w:i/>
          <w:iCs/>
        </w:rPr>
      </w:pPr>
      <w:r w:rsidRPr="00BE4D5F">
        <w:rPr>
          <w:rFonts w:asciiTheme="majorHAnsi" w:hAnsiTheme="majorHAnsi" w:cstheme="majorHAnsi"/>
        </w:rPr>
        <w:t xml:space="preserve">The circumstances include, of course, </w:t>
      </w:r>
      <w:r>
        <w:rPr>
          <w:rFonts w:asciiTheme="majorHAnsi" w:hAnsiTheme="majorHAnsi" w:cstheme="majorHAnsi"/>
        </w:rPr>
        <w:t>C</w:t>
      </w:r>
      <w:r w:rsidRPr="00BE4D5F">
        <w:rPr>
          <w:rFonts w:asciiTheme="majorHAnsi" w:hAnsiTheme="majorHAnsi" w:cstheme="majorHAnsi"/>
        </w:rPr>
        <w:t xml:space="preserve">onsumers’ reliance on what is said to them. </w:t>
      </w:r>
      <w:r w:rsidRPr="00D61DB0">
        <w:rPr>
          <w:rFonts w:asciiTheme="majorHAnsi" w:hAnsiTheme="majorHAnsi" w:cstheme="majorHAnsi"/>
          <w:i/>
          <w:iCs/>
        </w:rPr>
        <w:t>“If</w:t>
      </w:r>
    </w:p>
    <w:p w14:paraId="0254FE6D" w14:textId="77777777" w:rsidR="00BF0F9D" w:rsidRPr="00D61DB0" w:rsidRDefault="00BF0F9D" w:rsidP="00AF6BF5">
      <w:pPr>
        <w:spacing w:after="40" w:line="240" w:lineRule="auto"/>
        <w:jc w:val="left"/>
        <w:rPr>
          <w:rFonts w:asciiTheme="majorHAnsi" w:hAnsiTheme="majorHAnsi" w:cstheme="majorHAnsi"/>
          <w:i/>
          <w:iCs/>
        </w:rPr>
      </w:pPr>
      <w:r w:rsidRPr="00D61DB0">
        <w:rPr>
          <w:rFonts w:asciiTheme="majorHAnsi" w:hAnsiTheme="majorHAnsi" w:cstheme="majorHAnsi"/>
          <w:i/>
          <w:iCs/>
        </w:rPr>
        <w:t>they can be induced to part with money by claims and promises, and the seller can then simply</w:t>
      </w:r>
    </w:p>
    <w:p w14:paraId="11B14317" w14:textId="36DB4358" w:rsidR="00BF0F9D" w:rsidRPr="00BE4D5F" w:rsidRDefault="00BF0F9D" w:rsidP="00AF6BF5">
      <w:pPr>
        <w:spacing w:after="40" w:line="240" w:lineRule="auto"/>
        <w:jc w:val="left"/>
        <w:rPr>
          <w:rFonts w:asciiTheme="majorHAnsi" w:hAnsiTheme="majorHAnsi" w:cstheme="majorHAnsi"/>
        </w:rPr>
      </w:pPr>
      <w:r w:rsidRPr="00D61DB0">
        <w:rPr>
          <w:rFonts w:asciiTheme="majorHAnsi" w:hAnsiTheme="majorHAnsi" w:cstheme="majorHAnsi"/>
          <w:i/>
          <w:iCs/>
        </w:rPr>
        <w:t>disclaim responsibility on the basis of “variation clauses</w:t>
      </w:r>
      <w:r w:rsidR="00E30FD9" w:rsidRPr="00D61DB0">
        <w:rPr>
          <w:rFonts w:asciiTheme="majorHAnsi" w:hAnsiTheme="majorHAnsi" w:cstheme="majorHAnsi"/>
          <w:i/>
          <w:iCs/>
        </w:rPr>
        <w:t>,</w:t>
      </w:r>
      <w:r w:rsidRPr="00D61DB0">
        <w:rPr>
          <w:rFonts w:asciiTheme="majorHAnsi" w:hAnsiTheme="majorHAnsi" w:cstheme="majorHAnsi"/>
          <w:i/>
          <w:iCs/>
        </w:rPr>
        <w:t>” the scope for “bad faith” is clear.”</w:t>
      </w:r>
      <w:r w:rsidRPr="00BE4D5F">
        <w:rPr>
          <w:rFonts w:asciiTheme="majorHAnsi" w:hAnsiTheme="majorHAnsi" w:cstheme="majorHAnsi"/>
        </w:rPr>
        <w:t xml:space="preserve"> (OFT</w:t>
      </w:r>
    </w:p>
    <w:p w14:paraId="58677244" w14:textId="77777777" w:rsidR="00BF0F9D" w:rsidRPr="00BE4D5F" w:rsidRDefault="00BF0F9D" w:rsidP="00AF6BF5">
      <w:pPr>
        <w:spacing w:after="40" w:line="240" w:lineRule="auto"/>
        <w:jc w:val="left"/>
        <w:rPr>
          <w:rFonts w:asciiTheme="majorHAnsi" w:hAnsiTheme="majorHAnsi" w:cstheme="majorHAnsi"/>
        </w:rPr>
      </w:pPr>
      <w:r w:rsidRPr="00BE4D5F">
        <w:rPr>
          <w:rFonts w:asciiTheme="majorHAnsi" w:hAnsiTheme="majorHAnsi" w:cstheme="majorHAnsi"/>
        </w:rPr>
        <w:t>Bulletin 5)</w:t>
      </w:r>
      <w:r>
        <w:rPr>
          <w:rFonts w:asciiTheme="majorHAnsi" w:hAnsiTheme="majorHAnsi" w:cstheme="majorHAnsi"/>
        </w:rPr>
        <w:t>.</w:t>
      </w:r>
      <w:r w:rsidRPr="00BE4D5F">
        <w:rPr>
          <w:rFonts w:asciiTheme="majorHAnsi" w:hAnsiTheme="majorHAnsi" w:cstheme="majorHAnsi"/>
        </w:rPr>
        <w:t xml:space="preserve"> But the OFT also noted that “there may be no unfairness in a term that enables a supplier</w:t>
      </w:r>
    </w:p>
    <w:p w14:paraId="649390A5" w14:textId="77777777" w:rsidR="00AF6BF5" w:rsidRDefault="00BF0F9D" w:rsidP="00AF6BF5">
      <w:pPr>
        <w:spacing w:after="40" w:line="240" w:lineRule="auto"/>
        <w:jc w:val="left"/>
        <w:rPr>
          <w:rFonts w:asciiTheme="majorHAnsi" w:hAnsiTheme="majorHAnsi" w:cstheme="majorHAnsi"/>
        </w:rPr>
      </w:pPr>
      <w:r w:rsidRPr="00BE4D5F">
        <w:rPr>
          <w:rFonts w:asciiTheme="majorHAnsi" w:hAnsiTheme="majorHAnsi" w:cstheme="majorHAnsi"/>
        </w:rPr>
        <w:t>to change prices only in line with an independent published index.”</w:t>
      </w:r>
    </w:p>
    <w:p w14:paraId="66DA69CA" w14:textId="77777777" w:rsidR="00AF6BF5" w:rsidRDefault="00AF6BF5" w:rsidP="00AF6BF5">
      <w:pPr>
        <w:spacing w:after="40"/>
        <w:ind w:firstLine="720"/>
        <w:jc w:val="left"/>
        <w:rPr>
          <w:rFonts w:asciiTheme="majorHAnsi" w:hAnsiTheme="majorHAnsi" w:cstheme="majorHAnsi"/>
        </w:rPr>
      </w:pPr>
    </w:p>
    <w:p w14:paraId="162CDA24" w14:textId="32718CD8" w:rsidR="00AF6BF5" w:rsidRDefault="00D61DB0" w:rsidP="00AF6BF5">
      <w:pPr>
        <w:spacing w:after="40" w:line="240" w:lineRule="auto"/>
        <w:jc w:val="left"/>
        <w:rPr>
          <w:rFonts w:asciiTheme="majorHAnsi" w:hAnsiTheme="majorHAnsi" w:cstheme="majorHAnsi"/>
        </w:rPr>
      </w:pPr>
      <w:r>
        <w:rPr>
          <w:rFonts w:asciiTheme="majorHAnsi" w:hAnsiTheme="majorHAnsi" w:cstheme="majorHAnsi"/>
        </w:rPr>
        <w:t>T</w:t>
      </w:r>
      <w:r w:rsidR="00BF0F9D" w:rsidRPr="00925D7A">
        <w:rPr>
          <w:rFonts w:asciiTheme="majorHAnsi" w:hAnsiTheme="majorHAnsi" w:cstheme="majorHAnsi"/>
        </w:rPr>
        <w:t>he current rate changes being demanded of mortgagors by the non</w:t>
      </w:r>
      <w:r w:rsidR="00BF0F9D">
        <w:rPr>
          <w:rFonts w:asciiTheme="majorHAnsi" w:hAnsiTheme="majorHAnsi" w:cstheme="majorHAnsi"/>
        </w:rPr>
        <w:t>-</w:t>
      </w:r>
      <w:r w:rsidR="003A0B72">
        <w:rPr>
          <w:rFonts w:asciiTheme="majorHAnsi" w:hAnsiTheme="majorHAnsi" w:cstheme="majorHAnsi"/>
        </w:rPr>
        <w:t>bank funds</w:t>
      </w:r>
      <w:r w:rsidR="00BF0F9D" w:rsidRPr="00925D7A">
        <w:rPr>
          <w:rFonts w:asciiTheme="majorHAnsi" w:hAnsiTheme="majorHAnsi" w:cstheme="majorHAnsi"/>
        </w:rPr>
        <w:t xml:space="preserve"> </w:t>
      </w:r>
      <w:r>
        <w:rPr>
          <w:rFonts w:asciiTheme="majorHAnsi" w:hAnsiTheme="majorHAnsi" w:cstheme="majorHAnsi"/>
        </w:rPr>
        <w:t xml:space="preserve">need to be examined </w:t>
      </w:r>
      <w:r w:rsidR="00BF0F9D" w:rsidRPr="00925D7A">
        <w:rPr>
          <w:rFonts w:asciiTheme="majorHAnsi" w:hAnsiTheme="majorHAnsi" w:cstheme="majorHAnsi"/>
        </w:rPr>
        <w:t xml:space="preserve">in regard to fairness/unfairness of price changes during the term of the contract. I haven’t yet seen any breakdown of these </w:t>
      </w:r>
      <w:r w:rsidR="00BF0F9D" w:rsidRPr="00925D7A">
        <w:rPr>
          <w:rFonts w:asciiTheme="majorHAnsi" w:hAnsiTheme="majorHAnsi" w:cstheme="majorHAnsi"/>
          <w:i/>
          <w:iCs/>
        </w:rPr>
        <w:t xml:space="preserve">“credit purchasers” </w:t>
      </w:r>
      <w:r w:rsidR="00BF0F9D" w:rsidRPr="00925D7A">
        <w:rPr>
          <w:rFonts w:asciiTheme="majorHAnsi" w:hAnsiTheme="majorHAnsi" w:cstheme="majorHAnsi"/>
        </w:rPr>
        <w:t>cost of funds in the capital market. They are not tracked to ECB bank rates. Yet</w:t>
      </w:r>
      <w:r w:rsidR="003A0B72">
        <w:rPr>
          <w:rFonts w:asciiTheme="majorHAnsi" w:hAnsiTheme="majorHAnsi" w:cstheme="majorHAnsi"/>
        </w:rPr>
        <w:t>, to be fair,</w:t>
      </w:r>
      <w:r w:rsidR="00BF0F9D" w:rsidRPr="00925D7A">
        <w:rPr>
          <w:rFonts w:asciiTheme="majorHAnsi" w:hAnsiTheme="majorHAnsi" w:cstheme="majorHAnsi"/>
        </w:rPr>
        <w:t xml:space="preserve"> the formula used to measure interest chargeable is supposed to be clear.</w:t>
      </w:r>
    </w:p>
    <w:p w14:paraId="4BC462E3" w14:textId="77777777" w:rsidR="00AF6BF5" w:rsidRDefault="00AF6BF5" w:rsidP="00AF6BF5">
      <w:pPr>
        <w:spacing w:after="40"/>
        <w:jc w:val="left"/>
        <w:rPr>
          <w:rFonts w:asciiTheme="majorHAnsi" w:hAnsiTheme="majorHAnsi" w:cstheme="majorHAnsi"/>
        </w:rPr>
      </w:pPr>
    </w:p>
    <w:p w14:paraId="3B187AD0" w14:textId="51B94622" w:rsidR="00BF0F9D" w:rsidRPr="00BE4D5F" w:rsidRDefault="00BF0F9D" w:rsidP="00AF6BF5">
      <w:pPr>
        <w:spacing w:after="40" w:line="240" w:lineRule="auto"/>
        <w:jc w:val="left"/>
        <w:rPr>
          <w:rFonts w:asciiTheme="majorHAnsi" w:hAnsiTheme="majorHAnsi" w:cstheme="majorHAnsi"/>
        </w:rPr>
      </w:pPr>
      <w:r>
        <w:rPr>
          <w:rFonts w:asciiTheme="majorHAnsi" w:hAnsiTheme="majorHAnsi" w:cstheme="majorHAnsi"/>
        </w:rPr>
        <w:t>C</w:t>
      </w:r>
      <w:r w:rsidRPr="00BE4D5F">
        <w:rPr>
          <w:rFonts w:asciiTheme="majorHAnsi" w:hAnsiTheme="majorHAnsi" w:cstheme="majorHAnsi"/>
        </w:rPr>
        <w:t>hanges to interest charges “not fairly related” to the credit purchaser’s cost of funds</w:t>
      </w:r>
    </w:p>
    <w:p w14:paraId="352C5EAC" w14:textId="77777777" w:rsidR="00BF0F9D" w:rsidRPr="00BE4D5F" w:rsidRDefault="00BF0F9D" w:rsidP="00AF6BF5">
      <w:pPr>
        <w:spacing w:after="40" w:line="240" w:lineRule="auto"/>
        <w:jc w:val="left"/>
        <w:rPr>
          <w:rFonts w:asciiTheme="majorHAnsi" w:hAnsiTheme="majorHAnsi" w:cstheme="majorHAnsi"/>
        </w:rPr>
      </w:pPr>
      <w:r w:rsidRPr="00BE4D5F">
        <w:rPr>
          <w:rFonts w:asciiTheme="majorHAnsi" w:hAnsiTheme="majorHAnsi" w:cstheme="majorHAnsi"/>
        </w:rPr>
        <w:t>(including so-called “price gouging” by non-bank mortgagees) may be found to be unfair and</w:t>
      </w:r>
    </w:p>
    <w:p w14:paraId="7BE5A7F2" w14:textId="77777777" w:rsidR="00AF6BF5" w:rsidRDefault="00BF0F9D" w:rsidP="00AF6BF5">
      <w:pPr>
        <w:spacing w:after="40" w:line="240" w:lineRule="auto"/>
        <w:jc w:val="left"/>
        <w:rPr>
          <w:rFonts w:asciiTheme="majorHAnsi" w:hAnsiTheme="majorHAnsi" w:cstheme="majorHAnsi"/>
        </w:rPr>
      </w:pPr>
      <w:r w:rsidRPr="00BE4D5F">
        <w:rPr>
          <w:rFonts w:asciiTheme="majorHAnsi" w:hAnsiTheme="majorHAnsi" w:cstheme="majorHAnsi"/>
        </w:rPr>
        <w:t xml:space="preserve">unenforceable (on a case-by-case basis). </w:t>
      </w:r>
      <w:r w:rsidR="003A0B72">
        <w:rPr>
          <w:rFonts w:asciiTheme="majorHAnsi" w:hAnsiTheme="majorHAnsi" w:cstheme="majorHAnsi"/>
        </w:rPr>
        <w:t>In 2020 t</w:t>
      </w:r>
      <w:r w:rsidRPr="00BE4D5F">
        <w:rPr>
          <w:rFonts w:asciiTheme="majorHAnsi" w:hAnsiTheme="majorHAnsi" w:cstheme="majorHAnsi"/>
        </w:rPr>
        <w:t xml:space="preserve">he Supreme Court looked in passing </w:t>
      </w:r>
      <w:r w:rsidRPr="00C806BD">
        <w:rPr>
          <w:rFonts w:asciiTheme="majorHAnsi" w:hAnsiTheme="majorHAnsi" w:cstheme="majorHAnsi"/>
          <w:i/>
          <w:iCs/>
        </w:rPr>
        <w:t>(“obiter</w:t>
      </w:r>
      <w:r w:rsidRPr="00BE4D5F">
        <w:rPr>
          <w:rFonts w:asciiTheme="majorHAnsi" w:hAnsiTheme="majorHAnsi" w:cstheme="majorHAnsi"/>
        </w:rPr>
        <w:t>”) at interest</w:t>
      </w:r>
      <w:r w:rsidR="003A0B72">
        <w:rPr>
          <w:rFonts w:asciiTheme="majorHAnsi" w:hAnsiTheme="majorHAnsi" w:cstheme="majorHAnsi"/>
        </w:rPr>
        <w:t xml:space="preserve"> </w:t>
      </w:r>
      <w:r w:rsidRPr="00BE4D5F">
        <w:rPr>
          <w:rFonts w:asciiTheme="majorHAnsi" w:hAnsiTheme="majorHAnsi" w:cstheme="majorHAnsi"/>
        </w:rPr>
        <w:t xml:space="preserve">charges imposed </w:t>
      </w:r>
      <w:r w:rsidRPr="003A0B72">
        <w:rPr>
          <w:rFonts w:asciiTheme="majorHAnsi" w:hAnsiTheme="majorHAnsi" w:cstheme="majorHAnsi"/>
          <w:i/>
          <w:iCs/>
        </w:rPr>
        <w:t>after a default</w:t>
      </w:r>
      <w:r w:rsidRPr="00BE4D5F">
        <w:rPr>
          <w:rFonts w:asciiTheme="majorHAnsi" w:hAnsiTheme="majorHAnsi" w:cstheme="majorHAnsi"/>
        </w:rPr>
        <w:t xml:space="preserve"> and thought it “likely” that rates “not fairly related” to the costs of</w:t>
      </w:r>
      <w:r w:rsidR="003A0B72">
        <w:rPr>
          <w:rFonts w:asciiTheme="majorHAnsi" w:hAnsiTheme="majorHAnsi" w:cstheme="majorHAnsi"/>
        </w:rPr>
        <w:t xml:space="preserve"> </w:t>
      </w:r>
      <w:r w:rsidRPr="00BE4D5F">
        <w:rPr>
          <w:rFonts w:asciiTheme="majorHAnsi" w:hAnsiTheme="majorHAnsi" w:cstheme="majorHAnsi"/>
        </w:rPr>
        <w:t>the lender would be found to be an unfair “penalty”.</w:t>
      </w:r>
    </w:p>
    <w:p w14:paraId="2DB3546A" w14:textId="77777777" w:rsidR="007D7E21" w:rsidRDefault="007D7E21" w:rsidP="00AF6BF5">
      <w:pPr>
        <w:spacing w:after="40" w:line="240" w:lineRule="auto"/>
        <w:jc w:val="left"/>
        <w:rPr>
          <w:rFonts w:asciiTheme="majorHAnsi" w:hAnsiTheme="majorHAnsi" w:cstheme="majorHAnsi"/>
        </w:rPr>
      </w:pPr>
    </w:p>
    <w:p w14:paraId="28CC5595" w14:textId="3468F4A9" w:rsidR="00BF0F9D" w:rsidRPr="00BE4D5F" w:rsidRDefault="00BF0F9D" w:rsidP="00AF6BF5">
      <w:pPr>
        <w:spacing w:after="40" w:line="240" w:lineRule="auto"/>
        <w:jc w:val="left"/>
        <w:rPr>
          <w:rFonts w:asciiTheme="majorHAnsi" w:hAnsiTheme="majorHAnsi" w:cstheme="majorHAnsi"/>
        </w:rPr>
      </w:pPr>
      <w:r w:rsidRPr="00BE4D5F">
        <w:rPr>
          <w:rFonts w:asciiTheme="majorHAnsi" w:hAnsiTheme="majorHAnsi" w:cstheme="majorHAnsi"/>
        </w:rPr>
        <w:t>It</w:t>
      </w:r>
      <w:r>
        <w:rPr>
          <w:rFonts w:asciiTheme="majorHAnsi" w:hAnsiTheme="majorHAnsi" w:cstheme="majorHAnsi"/>
        </w:rPr>
        <w:t xml:space="preserve"> i</w:t>
      </w:r>
      <w:r w:rsidRPr="00BE4D5F">
        <w:rPr>
          <w:rFonts w:asciiTheme="majorHAnsi" w:hAnsiTheme="majorHAnsi" w:cstheme="majorHAnsi"/>
        </w:rPr>
        <w:t xml:space="preserve">s unusual to find an </w:t>
      </w:r>
      <w:r w:rsidRPr="00D61DB0">
        <w:rPr>
          <w:rFonts w:asciiTheme="majorHAnsi" w:hAnsiTheme="majorHAnsi" w:cstheme="majorHAnsi"/>
          <w:i/>
          <w:iCs/>
        </w:rPr>
        <w:t>obiter</w:t>
      </w:r>
      <w:r w:rsidRPr="00BE4D5F">
        <w:rPr>
          <w:rFonts w:asciiTheme="majorHAnsi" w:hAnsiTheme="majorHAnsi" w:cstheme="majorHAnsi"/>
        </w:rPr>
        <w:t xml:space="preserve"> to the effect that a particular outcome is “likely”. On the authority of</w:t>
      </w:r>
    </w:p>
    <w:p w14:paraId="41FC0CB8" w14:textId="77777777" w:rsidR="00BF0F9D" w:rsidRPr="00BE4D5F" w:rsidRDefault="00BF0F9D" w:rsidP="00AF6BF5">
      <w:pPr>
        <w:spacing w:after="40" w:line="240" w:lineRule="auto"/>
        <w:jc w:val="left"/>
        <w:rPr>
          <w:rFonts w:asciiTheme="majorHAnsi" w:hAnsiTheme="majorHAnsi" w:cstheme="majorHAnsi"/>
        </w:rPr>
      </w:pPr>
      <w:r w:rsidRPr="00BE4D5F">
        <w:rPr>
          <w:rFonts w:asciiTheme="majorHAnsi" w:hAnsiTheme="majorHAnsi" w:cstheme="majorHAnsi"/>
        </w:rPr>
        <w:t>that judicial comment, I say that it is “likely” that the courts will need open book access to credit</w:t>
      </w:r>
    </w:p>
    <w:p w14:paraId="7D80D5A4" w14:textId="77777777" w:rsidR="00BF0F9D" w:rsidRPr="00BE4D5F" w:rsidRDefault="00BF0F9D" w:rsidP="00AF6BF5">
      <w:pPr>
        <w:spacing w:after="40" w:line="240" w:lineRule="auto"/>
        <w:jc w:val="left"/>
        <w:rPr>
          <w:rFonts w:asciiTheme="majorHAnsi" w:hAnsiTheme="majorHAnsi" w:cstheme="majorHAnsi"/>
        </w:rPr>
      </w:pPr>
      <w:r w:rsidRPr="00BE4D5F">
        <w:rPr>
          <w:rFonts w:asciiTheme="majorHAnsi" w:hAnsiTheme="majorHAnsi" w:cstheme="majorHAnsi"/>
        </w:rPr>
        <w:t>purchasers’ business accounts when interest charges are hiked because of (alleged) underlying “cost</w:t>
      </w:r>
    </w:p>
    <w:p w14:paraId="4A7D87D1" w14:textId="77777777" w:rsidR="00AF6BF5" w:rsidRDefault="00BF0F9D" w:rsidP="00AF6BF5">
      <w:pPr>
        <w:spacing w:after="40" w:line="240" w:lineRule="auto"/>
        <w:jc w:val="left"/>
        <w:rPr>
          <w:rFonts w:asciiTheme="majorHAnsi" w:hAnsiTheme="majorHAnsi" w:cstheme="majorHAnsi"/>
        </w:rPr>
      </w:pPr>
      <w:r w:rsidRPr="00BE4D5F">
        <w:rPr>
          <w:rFonts w:asciiTheme="majorHAnsi" w:hAnsiTheme="majorHAnsi" w:cstheme="majorHAnsi"/>
        </w:rPr>
        <w:t>of funds” inflation.</w:t>
      </w:r>
    </w:p>
    <w:p w14:paraId="11596EE7" w14:textId="77777777" w:rsidR="00D61DB0" w:rsidRDefault="00D61DB0" w:rsidP="00AF6BF5">
      <w:pPr>
        <w:spacing w:after="40" w:line="240" w:lineRule="auto"/>
        <w:jc w:val="left"/>
        <w:rPr>
          <w:rFonts w:asciiTheme="majorHAnsi" w:hAnsiTheme="majorHAnsi" w:cstheme="majorHAnsi"/>
        </w:rPr>
      </w:pPr>
    </w:p>
    <w:p w14:paraId="153D29B4" w14:textId="77777777" w:rsidR="00D61DB0" w:rsidRDefault="00D61DB0" w:rsidP="00AF6BF5">
      <w:pPr>
        <w:spacing w:after="40" w:line="240" w:lineRule="auto"/>
        <w:jc w:val="left"/>
        <w:rPr>
          <w:rFonts w:asciiTheme="majorHAnsi" w:hAnsiTheme="majorHAnsi" w:cstheme="majorHAnsi"/>
        </w:rPr>
      </w:pPr>
    </w:p>
    <w:p w14:paraId="7065AF3F" w14:textId="77777777" w:rsidR="007F042E" w:rsidRDefault="007F042E" w:rsidP="00AF6BF5">
      <w:pPr>
        <w:spacing w:after="40" w:line="240" w:lineRule="auto"/>
        <w:jc w:val="left"/>
        <w:rPr>
          <w:rFonts w:asciiTheme="majorHAnsi" w:hAnsiTheme="majorHAnsi" w:cstheme="majorHAnsi"/>
        </w:rPr>
      </w:pPr>
    </w:p>
    <w:p w14:paraId="5BC7D920" w14:textId="77777777" w:rsidR="00D61DB0" w:rsidRPr="00D61DB0" w:rsidRDefault="00D61DB0" w:rsidP="00AF6BF5">
      <w:pPr>
        <w:spacing w:after="40" w:line="240" w:lineRule="auto"/>
        <w:jc w:val="left"/>
        <w:rPr>
          <w:rFonts w:asciiTheme="majorHAnsi" w:hAnsiTheme="majorHAnsi" w:cstheme="majorHAnsi"/>
          <w:b/>
          <w:bCs/>
          <w:u w:val="single"/>
        </w:rPr>
      </w:pPr>
      <w:r w:rsidRPr="00D61DB0">
        <w:rPr>
          <w:rFonts w:asciiTheme="majorHAnsi" w:hAnsiTheme="majorHAnsi" w:cstheme="majorHAnsi"/>
          <w:b/>
          <w:bCs/>
          <w:u w:val="single"/>
        </w:rPr>
        <w:lastRenderedPageBreak/>
        <w:t>Own Motion Assessment</w:t>
      </w:r>
    </w:p>
    <w:p w14:paraId="4624F1EF" w14:textId="77777777" w:rsidR="00D61DB0" w:rsidRDefault="00D61DB0" w:rsidP="00AF6BF5">
      <w:pPr>
        <w:spacing w:after="40" w:line="240" w:lineRule="auto"/>
        <w:jc w:val="left"/>
        <w:rPr>
          <w:rFonts w:asciiTheme="majorHAnsi" w:hAnsiTheme="majorHAnsi" w:cstheme="majorHAnsi"/>
        </w:rPr>
      </w:pPr>
    </w:p>
    <w:p w14:paraId="6A502ABF" w14:textId="0729705A" w:rsidR="00AF6BF5" w:rsidRDefault="00A7644D" w:rsidP="00AF6BF5">
      <w:pPr>
        <w:spacing w:after="40" w:line="240" w:lineRule="auto"/>
        <w:jc w:val="left"/>
        <w:rPr>
          <w:rFonts w:asciiTheme="majorHAnsi" w:hAnsiTheme="majorHAnsi" w:cstheme="majorHAnsi"/>
        </w:rPr>
      </w:pPr>
      <w:r w:rsidRPr="00925D7A">
        <w:rPr>
          <w:rFonts w:asciiTheme="majorHAnsi" w:hAnsiTheme="majorHAnsi" w:cstheme="majorHAnsi"/>
        </w:rPr>
        <w:t>There is strong institutional resistance to the obligation imposed on the courts to scan consumer contracts and satisfy themselves that the terms are not unfair, even in cases when neither party requests the court to do so. Lawyers strive to draft written terms which are certain and binding and the notion that a subset of contracts – consumer contracts – might be uncertain (or might operate “</w:t>
      </w:r>
      <w:r w:rsidRPr="00925D7A">
        <w:rPr>
          <w:rFonts w:asciiTheme="majorHAnsi" w:hAnsiTheme="majorHAnsi" w:cstheme="majorHAnsi"/>
          <w:i/>
          <w:iCs/>
        </w:rPr>
        <w:t>unfairly</w:t>
      </w:r>
      <w:r w:rsidRPr="00925D7A">
        <w:rPr>
          <w:rFonts w:asciiTheme="majorHAnsi" w:hAnsiTheme="majorHAnsi" w:cstheme="majorHAnsi"/>
        </w:rPr>
        <w:t>”) is counterintuitive to the judges</w:t>
      </w:r>
      <w:r w:rsidR="00AF6BF5">
        <w:rPr>
          <w:rFonts w:asciiTheme="majorHAnsi" w:hAnsiTheme="majorHAnsi" w:cstheme="majorHAnsi"/>
        </w:rPr>
        <w:t>.</w:t>
      </w:r>
    </w:p>
    <w:p w14:paraId="1F9F2B47" w14:textId="77777777" w:rsidR="00AF6BF5" w:rsidRDefault="00AF6BF5" w:rsidP="00AF6BF5">
      <w:pPr>
        <w:spacing w:after="40" w:line="240" w:lineRule="auto"/>
        <w:jc w:val="left"/>
        <w:rPr>
          <w:rFonts w:asciiTheme="majorHAnsi" w:hAnsiTheme="majorHAnsi" w:cstheme="majorHAnsi"/>
        </w:rPr>
      </w:pPr>
    </w:p>
    <w:p w14:paraId="25C883DD" w14:textId="2084BEF9" w:rsidR="00A7644D" w:rsidRDefault="00A7644D" w:rsidP="00AF6BF5">
      <w:pPr>
        <w:spacing w:after="40" w:line="240" w:lineRule="auto"/>
        <w:jc w:val="left"/>
        <w:rPr>
          <w:rFonts w:asciiTheme="majorHAnsi" w:hAnsiTheme="majorHAnsi" w:cstheme="majorHAnsi"/>
        </w:rPr>
      </w:pPr>
      <w:r w:rsidRPr="00925D7A">
        <w:rPr>
          <w:rFonts w:asciiTheme="majorHAnsi" w:hAnsiTheme="majorHAnsi" w:cstheme="majorHAnsi"/>
        </w:rPr>
        <w:t>This push back was, perhaps unwittingly</w:t>
      </w:r>
      <w:r w:rsidR="00F56064">
        <w:rPr>
          <w:rFonts w:asciiTheme="majorHAnsi" w:hAnsiTheme="majorHAnsi" w:cstheme="majorHAnsi"/>
        </w:rPr>
        <w:t>,</w:t>
      </w:r>
      <w:r w:rsidRPr="00925D7A">
        <w:rPr>
          <w:rFonts w:asciiTheme="majorHAnsi" w:hAnsiTheme="majorHAnsi" w:cstheme="majorHAnsi"/>
        </w:rPr>
        <w:t xml:space="preserve"> aided by a section of the Consumer Rights Act which reproduced a distorted version of the EU </w:t>
      </w:r>
      <w:r>
        <w:rPr>
          <w:rFonts w:asciiTheme="majorHAnsi" w:hAnsiTheme="majorHAnsi" w:cstheme="majorHAnsi"/>
        </w:rPr>
        <w:t>L</w:t>
      </w:r>
      <w:r w:rsidRPr="00925D7A">
        <w:rPr>
          <w:rFonts w:asciiTheme="majorHAnsi" w:hAnsiTheme="majorHAnsi" w:cstheme="majorHAnsi"/>
        </w:rPr>
        <w:t xml:space="preserve">aw principle. Section 13b provided an escape clause. It provided that the obligation </w:t>
      </w:r>
      <w:r w:rsidRPr="00925D7A">
        <w:rPr>
          <w:rFonts w:asciiTheme="majorHAnsi" w:hAnsiTheme="majorHAnsi" w:cstheme="majorHAnsi"/>
          <w:i/>
          <w:iCs/>
        </w:rPr>
        <w:t xml:space="preserve">“shall not apply </w:t>
      </w:r>
      <w:r w:rsidRPr="00925D7A">
        <w:rPr>
          <w:rFonts w:asciiTheme="majorHAnsi" w:hAnsiTheme="majorHAnsi" w:cstheme="majorHAnsi"/>
          <w:i/>
          <w:iCs/>
          <w:u w:val="single"/>
        </w:rPr>
        <w:t>unless</w:t>
      </w:r>
      <w:r w:rsidRPr="00925D7A">
        <w:rPr>
          <w:rFonts w:asciiTheme="majorHAnsi" w:hAnsiTheme="majorHAnsi" w:cstheme="majorHAnsi"/>
        </w:rPr>
        <w:t xml:space="preserve"> (my emphasis) </w:t>
      </w:r>
      <w:r w:rsidRPr="00925D7A">
        <w:rPr>
          <w:rFonts w:asciiTheme="majorHAnsi" w:hAnsiTheme="majorHAnsi" w:cstheme="majorHAnsi"/>
          <w:i/>
          <w:iCs/>
        </w:rPr>
        <w:t>the courts consider that it has before it sufficient legal and factual material to enable it to determine whether the term is unfair.”</w:t>
      </w:r>
      <w:r w:rsidRPr="00925D7A">
        <w:rPr>
          <w:rFonts w:asciiTheme="majorHAnsi" w:hAnsiTheme="majorHAnsi" w:cstheme="majorHAnsi"/>
        </w:rPr>
        <w:t xml:space="preserve"> An easy opt out for a judge? No sanction for the opportunistic </w:t>
      </w:r>
      <w:r>
        <w:rPr>
          <w:rFonts w:asciiTheme="majorHAnsi" w:hAnsiTheme="majorHAnsi" w:cstheme="majorHAnsi"/>
        </w:rPr>
        <w:t>P</w:t>
      </w:r>
      <w:r w:rsidRPr="00925D7A">
        <w:rPr>
          <w:rFonts w:asciiTheme="majorHAnsi" w:hAnsiTheme="majorHAnsi" w:cstheme="majorHAnsi"/>
        </w:rPr>
        <w:t>laintiff who omits key documents in order to game the system?</w:t>
      </w:r>
    </w:p>
    <w:p w14:paraId="55F01208" w14:textId="77777777" w:rsidR="00E729C3" w:rsidRPr="00925D7A" w:rsidRDefault="00E729C3" w:rsidP="00AF6BF5">
      <w:pPr>
        <w:spacing w:after="40" w:line="240" w:lineRule="auto"/>
        <w:jc w:val="left"/>
        <w:rPr>
          <w:rFonts w:asciiTheme="majorHAnsi" w:hAnsiTheme="majorHAnsi" w:cstheme="majorHAnsi"/>
        </w:rPr>
      </w:pPr>
    </w:p>
    <w:p w14:paraId="18777C3F" w14:textId="77777777" w:rsidR="00A7644D" w:rsidRPr="00925D7A" w:rsidRDefault="00A7644D" w:rsidP="00AF6BF5">
      <w:pPr>
        <w:jc w:val="left"/>
        <w:rPr>
          <w:rFonts w:asciiTheme="majorHAnsi" w:hAnsiTheme="majorHAnsi" w:cstheme="majorHAnsi"/>
        </w:rPr>
      </w:pPr>
      <w:r w:rsidRPr="00925D7A">
        <w:rPr>
          <w:rFonts w:asciiTheme="majorHAnsi" w:hAnsiTheme="majorHAnsi" w:cstheme="majorHAnsi"/>
        </w:rPr>
        <w:t xml:space="preserve">My reading of EU case law suggests a much firmer obligation. In SPV Project 1503 (Case C – 693/19) the ECJ found that </w:t>
      </w:r>
      <w:r w:rsidRPr="00925D7A">
        <w:rPr>
          <w:rFonts w:asciiTheme="majorHAnsi" w:hAnsiTheme="majorHAnsi" w:cstheme="majorHAnsi"/>
          <w:i/>
          <w:iCs/>
        </w:rPr>
        <w:t xml:space="preserve">“effective judicial protection </w:t>
      </w:r>
      <w:r w:rsidRPr="00925D7A">
        <w:rPr>
          <w:rFonts w:asciiTheme="majorHAnsi" w:hAnsiTheme="majorHAnsi" w:cstheme="majorHAnsi"/>
          <w:u w:val="single"/>
        </w:rPr>
        <w:t>necessitates</w:t>
      </w:r>
      <w:r w:rsidRPr="00925D7A">
        <w:rPr>
          <w:rFonts w:asciiTheme="majorHAnsi" w:hAnsiTheme="majorHAnsi" w:cstheme="majorHAnsi"/>
        </w:rPr>
        <w:t xml:space="preserve"> (emphasis added) </w:t>
      </w:r>
      <w:r w:rsidRPr="00925D7A">
        <w:rPr>
          <w:rFonts w:asciiTheme="majorHAnsi" w:hAnsiTheme="majorHAnsi" w:cstheme="majorHAnsi"/>
          <w:i/>
          <w:iCs/>
        </w:rPr>
        <w:t>that the court hearing the proceedings is able to assess whether the contractual terms are unfair</w:t>
      </w:r>
      <w:r w:rsidRPr="00925D7A">
        <w:rPr>
          <w:rFonts w:asciiTheme="majorHAnsi" w:hAnsiTheme="majorHAnsi" w:cstheme="majorHAnsi"/>
        </w:rPr>
        <w:t>.” I read that as a direction to the national court to make the appropriate arrangements to ensure its ability to assess, failing which the claim should fail.</w:t>
      </w:r>
    </w:p>
    <w:p w14:paraId="1D50AFA3" w14:textId="7621AF61" w:rsidR="00960AEA" w:rsidRPr="00BE4D5F" w:rsidRDefault="00246A77" w:rsidP="00AF6BF5">
      <w:pPr>
        <w:jc w:val="left"/>
        <w:rPr>
          <w:rFonts w:asciiTheme="majorHAnsi" w:hAnsiTheme="majorHAnsi" w:cstheme="majorHAnsi"/>
        </w:rPr>
      </w:pPr>
      <w:r w:rsidRPr="00925D7A">
        <w:rPr>
          <w:rFonts w:asciiTheme="majorHAnsi" w:hAnsiTheme="majorHAnsi" w:cstheme="majorHAnsi"/>
        </w:rPr>
        <w:t>In my view, any case involving a consumer contract must be deemed to be a “</w:t>
      </w:r>
      <w:r w:rsidRPr="00925D7A">
        <w:rPr>
          <w:rFonts w:asciiTheme="majorHAnsi" w:hAnsiTheme="majorHAnsi" w:cstheme="majorHAnsi"/>
          <w:i/>
          <w:iCs/>
        </w:rPr>
        <w:t>contested</w:t>
      </w:r>
      <w:r w:rsidRPr="00925D7A">
        <w:rPr>
          <w:rFonts w:asciiTheme="majorHAnsi" w:hAnsiTheme="majorHAnsi" w:cstheme="majorHAnsi"/>
        </w:rPr>
        <w:t xml:space="preserve">” case </w:t>
      </w:r>
      <w:r w:rsidRPr="00C74093">
        <w:rPr>
          <w:rFonts w:asciiTheme="majorHAnsi" w:hAnsiTheme="majorHAnsi" w:cstheme="majorHAnsi"/>
          <w:i/>
          <w:iCs/>
        </w:rPr>
        <w:t>ipso facto</w:t>
      </w:r>
      <w:r w:rsidRPr="00925D7A">
        <w:rPr>
          <w:rFonts w:asciiTheme="majorHAnsi" w:hAnsiTheme="majorHAnsi" w:cstheme="majorHAnsi"/>
        </w:rPr>
        <w:t xml:space="preserve">, and court rules require it to be placed in the </w:t>
      </w:r>
      <w:r w:rsidR="00052547">
        <w:rPr>
          <w:rFonts w:asciiTheme="majorHAnsi" w:hAnsiTheme="majorHAnsi" w:cstheme="majorHAnsi"/>
        </w:rPr>
        <w:t>J</w:t>
      </w:r>
      <w:r w:rsidRPr="00925D7A">
        <w:rPr>
          <w:rFonts w:asciiTheme="majorHAnsi" w:hAnsiTheme="majorHAnsi" w:cstheme="majorHAnsi"/>
        </w:rPr>
        <w:t>udges</w:t>
      </w:r>
      <w:r w:rsidR="00052547">
        <w:rPr>
          <w:rFonts w:asciiTheme="majorHAnsi" w:hAnsiTheme="majorHAnsi" w:cstheme="majorHAnsi"/>
        </w:rPr>
        <w:t>’</w:t>
      </w:r>
      <w:r w:rsidRPr="00925D7A">
        <w:rPr>
          <w:rFonts w:asciiTheme="majorHAnsi" w:hAnsiTheme="majorHAnsi" w:cstheme="majorHAnsi"/>
        </w:rPr>
        <w:t xml:space="preserve"> list.</w:t>
      </w:r>
      <w:r>
        <w:rPr>
          <w:rFonts w:asciiTheme="majorHAnsi" w:hAnsiTheme="majorHAnsi" w:cstheme="majorHAnsi"/>
        </w:rPr>
        <w:t xml:space="preserve"> </w:t>
      </w:r>
      <w:r w:rsidR="00A7644D" w:rsidRPr="00925D7A">
        <w:rPr>
          <w:rFonts w:asciiTheme="majorHAnsi" w:hAnsiTheme="majorHAnsi" w:cstheme="majorHAnsi"/>
        </w:rPr>
        <w:t>It</w:t>
      </w:r>
      <w:r>
        <w:rPr>
          <w:rFonts w:asciiTheme="majorHAnsi" w:hAnsiTheme="majorHAnsi" w:cstheme="majorHAnsi"/>
        </w:rPr>
        <w:t>’s</w:t>
      </w:r>
      <w:r w:rsidR="00A7644D" w:rsidRPr="00925D7A">
        <w:rPr>
          <w:rFonts w:asciiTheme="majorHAnsi" w:hAnsiTheme="majorHAnsi" w:cstheme="majorHAnsi"/>
        </w:rPr>
        <w:t xml:space="preserve"> also clear from that </w:t>
      </w:r>
      <w:r>
        <w:rPr>
          <w:rFonts w:asciiTheme="majorHAnsi" w:hAnsiTheme="majorHAnsi" w:cstheme="majorHAnsi"/>
        </w:rPr>
        <w:t xml:space="preserve">ECJ </w:t>
      </w:r>
      <w:r w:rsidR="00A7644D" w:rsidRPr="00925D7A">
        <w:rPr>
          <w:rFonts w:asciiTheme="majorHAnsi" w:hAnsiTheme="majorHAnsi" w:cstheme="majorHAnsi"/>
        </w:rPr>
        <w:t xml:space="preserve">judgment that </w:t>
      </w:r>
      <w:r>
        <w:rPr>
          <w:rFonts w:asciiTheme="majorHAnsi" w:hAnsiTheme="majorHAnsi" w:cstheme="majorHAnsi"/>
        </w:rPr>
        <w:t>the</w:t>
      </w:r>
      <w:r w:rsidR="00A7644D" w:rsidRPr="00925D7A">
        <w:rPr>
          <w:rFonts w:asciiTheme="majorHAnsi" w:hAnsiTheme="majorHAnsi" w:cstheme="majorHAnsi"/>
        </w:rPr>
        <w:t xml:space="preserve"> suggestion that the County Registrar could do the negative clear</w:t>
      </w:r>
      <w:r>
        <w:rPr>
          <w:rFonts w:asciiTheme="majorHAnsi" w:hAnsiTheme="majorHAnsi" w:cstheme="majorHAnsi"/>
        </w:rPr>
        <w:t>ance</w:t>
      </w:r>
      <w:r w:rsidR="00A7644D" w:rsidRPr="00925D7A">
        <w:rPr>
          <w:rFonts w:asciiTheme="majorHAnsi" w:hAnsiTheme="majorHAnsi" w:cstheme="majorHAnsi"/>
        </w:rPr>
        <w:t xml:space="preserve"> of terms instead of placing the case in the Circuit judge’s list is not a runner. It’s a task for “the court hearing the proceedings</w:t>
      </w:r>
      <w:r w:rsidR="00A7644D">
        <w:rPr>
          <w:rFonts w:asciiTheme="majorHAnsi" w:hAnsiTheme="majorHAnsi" w:cstheme="majorHAnsi"/>
        </w:rPr>
        <w:t>,</w:t>
      </w:r>
      <w:r w:rsidR="00A7644D" w:rsidRPr="00925D7A">
        <w:rPr>
          <w:rFonts w:asciiTheme="majorHAnsi" w:hAnsiTheme="majorHAnsi" w:cstheme="majorHAnsi"/>
        </w:rPr>
        <w:t>”</w:t>
      </w:r>
      <w:r w:rsidR="00A7644D">
        <w:rPr>
          <w:rFonts w:asciiTheme="majorHAnsi" w:hAnsiTheme="majorHAnsi" w:cstheme="majorHAnsi"/>
        </w:rPr>
        <w:t xml:space="preserve"> </w:t>
      </w:r>
      <w:r w:rsidR="00A7644D" w:rsidRPr="00925D7A">
        <w:rPr>
          <w:rFonts w:asciiTheme="majorHAnsi" w:hAnsiTheme="majorHAnsi" w:cstheme="majorHAnsi"/>
        </w:rPr>
        <w:t xml:space="preserve">not a </w:t>
      </w:r>
      <w:proofErr w:type="spellStart"/>
      <w:proofErr w:type="gramStart"/>
      <w:r w:rsidR="00A7644D" w:rsidRPr="00925D7A">
        <w:rPr>
          <w:rFonts w:asciiTheme="majorHAnsi" w:hAnsiTheme="majorHAnsi" w:cstheme="majorHAnsi"/>
        </w:rPr>
        <w:t>quasi judicial</w:t>
      </w:r>
      <w:proofErr w:type="spellEnd"/>
      <w:proofErr w:type="gramEnd"/>
      <w:r w:rsidR="00A7644D" w:rsidRPr="00925D7A">
        <w:rPr>
          <w:rFonts w:asciiTheme="majorHAnsi" w:hAnsiTheme="majorHAnsi" w:cstheme="majorHAnsi"/>
        </w:rPr>
        <w:t xml:space="preserve"> court officer</w:t>
      </w:r>
      <w:r>
        <w:rPr>
          <w:rFonts w:asciiTheme="majorHAnsi" w:hAnsiTheme="majorHAnsi" w:cstheme="majorHAnsi"/>
        </w:rPr>
        <w:t xml:space="preserve"> (who,</w:t>
      </w:r>
      <w:r w:rsidR="00BD28BB">
        <w:rPr>
          <w:rFonts w:asciiTheme="majorHAnsi" w:hAnsiTheme="majorHAnsi" w:cstheme="majorHAnsi"/>
        </w:rPr>
        <w:t xml:space="preserve"> </w:t>
      </w:r>
      <w:r w:rsidR="007D7E21" w:rsidRPr="007D7E21">
        <w:rPr>
          <w:rFonts w:asciiTheme="majorHAnsi" w:hAnsiTheme="majorHAnsi" w:cstheme="majorHAnsi"/>
        </w:rPr>
        <w:t>“</w:t>
      </w:r>
      <w:r w:rsidRPr="00925D7A">
        <w:rPr>
          <w:rFonts w:asciiTheme="majorHAnsi" w:hAnsiTheme="majorHAnsi" w:cstheme="majorHAnsi"/>
          <w:i/>
          <w:iCs/>
        </w:rPr>
        <w:t xml:space="preserve">while </w:t>
      </w:r>
      <w:r>
        <w:rPr>
          <w:rFonts w:asciiTheme="majorHAnsi" w:hAnsiTheme="majorHAnsi" w:cstheme="majorHAnsi"/>
          <w:i/>
          <w:iCs/>
        </w:rPr>
        <w:t>not</w:t>
      </w:r>
      <w:r w:rsidRPr="00925D7A">
        <w:rPr>
          <w:rFonts w:asciiTheme="majorHAnsi" w:hAnsiTheme="majorHAnsi" w:cstheme="majorHAnsi"/>
          <w:i/>
          <w:iCs/>
        </w:rPr>
        <w:t xml:space="preserve"> expected to give detailed written rulings,</w:t>
      </w:r>
      <w:r>
        <w:rPr>
          <w:rFonts w:asciiTheme="majorHAnsi" w:hAnsiTheme="majorHAnsi" w:cstheme="majorHAnsi"/>
          <w:i/>
          <w:iCs/>
        </w:rPr>
        <w:t xml:space="preserve"> should always give</w:t>
      </w:r>
      <w:r w:rsidRPr="00925D7A">
        <w:rPr>
          <w:rFonts w:asciiTheme="majorHAnsi" w:hAnsiTheme="majorHAnsi" w:cstheme="majorHAnsi"/>
          <w:i/>
          <w:iCs/>
        </w:rPr>
        <w:t xml:space="preserve"> the gist </w:t>
      </w:r>
      <w:r>
        <w:rPr>
          <w:rFonts w:asciiTheme="majorHAnsi" w:hAnsiTheme="majorHAnsi" w:cstheme="majorHAnsi"/>
          <w:i/>
          <w:iCs/>
        </w:rPr>
        <w:t>of the</w:t>
      </w:r>
      <w:r w:rsidRPr="00925D7A">
        <w:rPr>
          <w:rFonts w:asciiTheme="majorHAnsi" w:hAnsiTheme="majorHAnsi" w:cstheme="majorHAnsi"/>
          <w:i/>
          <w:iCs/>
        </w:rPr>
        <w:t xml:space="preserve"> reasons for a decision</w:t>
      </w:r>
      <w:r w:rsidR="00052547">
        <w:rPr>
          <w:rFonts w:asciiTheme="majorHAnsi" w:hAnsiTheme="majorHAnsi" w:cstheme="majorHAnsi"/>
          <w:i/>
          <w:iCs/>
        </w:rPr>
        <w:t>.</w:t>
      </w:r>
      <w:r w:rsidRPr="00925D7A">
        <w:rPr>
          <w:rFonts w:asciiTheme="majorHAnsi" w:hAnsiTheme="majorHAnsi" w:cstheme="majorHAnsi"/>
        </w:rPr>
        <w:t>”)</w:t>
      </w:r>
      <w:r w:rsidR="00052547">
        <w:rPr>
          <w:rFonts w:asciiTheme="majorHAnsi" w:hAnsiTheme="majorHAnsi" w:cstheme="majorHAnsi"/>
        </w:rPr>
        <w:t>.</w:t>
      </w:r>
    </w:p>
    <w:p w14:paraId="761947C9" w14:textId="26B49C34" w:rsidR="007D7E21" w:rsidRDefault="00F56064" w:rsidP="00E729C3">
      <w:pPr>
        <w:spacing w:after="40"/>
        <w:jc w:val="left"/>
        <w:rPr>
          <w:rFonts w:asciiTheme="majorHAnsi" w:hAnsiTheme="majorHAnsi" w:cstheme="majorHAnsi"/>
        </w:rPr>
      </w:pPr>
      <w:r>
        <w:rPr>
          <w:rFonts w:asciiTheme="majorHAnsi" w:hAnsiTheme="majorHAnsi" w:cstheme="majorHAnsi"/>
        </w:rPr>
        <w:t>Another standard contract term,</w:t>
      </w:r>
      <w:r w:rsidR="00D61DB0" w:rsidRPr="00BE4D5F">
        <w:rPr>
          <w:rFonts w:asciiTheme="majorHAnsi" w:hAnsiTheme="majorHAnsi" w:cstheme="majorHAnsi"/>
        </w:rPr>
        <w:t xml:space="preserve"> the “transfer of rights” clause</w:t>
      </w:r>
      <w:r w:rsidR="002B2219">
        <w:rPr>
          <w:rFonts w:asciiTheme="majorHAnsi" w:hAnsiTheme="majorHAnsi" w:cstheme="majorHAnsi"/>
        </w:rPr>
        <w:t xml:space="preserve"> - </w:t>
      </w:r>
      <w:r w:rsidR="00D61DB0">
        <w:rPr>
          <w:rFonts w:asciiTheme="majorHAnsi" w:hAnsiTheme="majorHAnsi" w:cstheme="majorHAnsi"/>
        </w:rPr>
        <w:t xml:space="preserve"> </w:t>
      </w:r>
      <w:r>
        <w:rPr>
          <w:rFonts w:asciiTheme="majorHAnsi" w:hAnsiTheme="majorHAnsi" w:cstheme="majorHAnsi"/>
        </w:rPr>
        <w:t>t</w:t>
      </w:r>
      <w:r w:rsidR="00960AEA" w:rsidRPr="00BE4D5F">
        <w:rPr>
          <w:rFonts w:asciiTheme="majorHAnsi" w:hAnsiTheme="majorHAnsi" w:cstheme="majorHAnsi"/>
        </w:rPr>
        <w:t xml:space="preserve">he contractual entitlement of a lender to sell on all or any part of the </w:t>
      </w:r>
      <w:r w:rsidR="00960AEA" w:rsidRPr="00F56064">
        <w:rPr>
          <w:rFonts w:asciiTheme="majorHAnsi" w:hAnsiTheme="majorHAnsi" w:cstheme="majorHAnsi"/>
          <w:i/>
          <w:iCs/>
        </w:rPr>
        <w:t>security</w:t>
      </w:r>
      <w:r w:rsidR="00960AEA" w:rsidRPr="00BE4D5F">
        <w:rPr>
          <w:rFonts w:asciiTheme="majorHAnsi" w:hAnsiTheme="majorHAnsi" w:cstheme="majorHAnsi"/>
        </w:rPr>
        <w:t xml:space="preserve"> (emphasis added)</w:t>
      </w:r>
      <w:r w:rsidR="00BD28BB">
        <w:rPr>
          <w:rFonts w:asciiTheme="majorHAnsi" w:hAnsiTheme="majorHAnsi" w:cstheme="majorHAnsi"/>
        </w:rPr>
        <w:t xml:space="preserve"> without notice to the borrower</w:t>
      </w:r>
      <w:r w:rsidR="002B2219">
        <w:rPr>
          <w:rFonts w:asciiTheme="majorHAnsi" w:hAnsiTheme="majorHAnsi" w:cstheme="majorHAnsi"/>
        </w:rPr>
        <w:t xml:space="preserve"> -</w:t>
      </w:r>
      <w:r w:rsidR="00BD28BB">
        <w:rPr>
          <w:rFonts w:asciiTheme="majorHAnsi" w:hAnsiTheme="majorHAnsi" w:cstheme="majorHAnsi"/>
        </w:rPr>
        <w:t xml:space="preserve"> </w:t>
      </w:r>
      <w:r w:rsidR="00960AEA" w:rsidRPr="00BE4D5F">
        <w:rPr>
          <w:rFonts w:asciiTheme="majorHAnsi" w:hAnsiTheme="majorHAnsi" w:cstheme="majorHAnsi"/>
        </w:rPr>
        <w:t>p</w:t>
      </w:r>
      <w:r w:rsidR="00BD28BB">
        <w:rPr>
          <w:rFonts w:asciiTheme="majorHAnsi" w:hAnsiTheme="majorHAnsi" w:cstheme="majorHAnsi"/>
        </w:rPr>
        <w:t>iqued</w:t>
      </w:r>
      <w:r w:rsidR="00960AEA" w:rsidRPr="00BE4D5F">
        <w:rPr>
          <w:rFonts w:asciiTheme="majorHAnsi" w:hAnsiTheme="majorHAnsi" w:cstheme="majorHAnsi"/>
        </w:rPr>
        <w:t xml:space="preserve"> the interest of the Supreme Court</w:t>
      </w:r>
      <w:r>
        <w:rPr>
          <w:rFonts w:asciiTheme="majorHAnsi" w:hAnsiTheme="majorHAnsi" w:cstheme="majorHAnsi"/>
        </w:rPr>
        <w:t xml:space="preserve"> </w:t>
      </w:r>
      <w:r w:rsidR="00960AEA" w:rsidRPr="00BE4D5F">
        <w:rPr>
          <w:rFonts w:asciiTheme="majorHAnsi" w:hAnsiTheme="majorHAnsi" w:cstheme="majorHAnsi"/>
        </w:rPr>
        <w:t>(</w:t>
      </w:r>
      <w:r w:rsidR="00960AEA" w:rsidRPr="00E729C3">
        <w:rPr>
          <w:rFonts w:asciiTheme="majorHAnsi" w:hAnsiTheme="majorHAnsi" w:cstheme="majorHAnsi"/>
          <w:i/>
          <w:iCs/>
        </w:rPr>
        <w:t>Pepper Finance v Cannon [2020] IESC 2</w:t>
      </w:r>
      <w:r w:rsidR="00960AEA" w:rsidRPr="00BE4D5F">
        <w:rPr>
          <w:rFonts w:asciiTheme="majorHAnsi" w:hAnsiTheme="majorHAnsi" w:cstheme="majorHAnsi"/>
        </w:rPr>
        <w:t>), who noted that</w:t>
      </w:r>
      <w:r w:rsidR="002B2219">
        <w:rPr>
          <w:rFonts w:asciiTheme="majorHAnsi" w:hAnsiTheme="majorHAnsi" w:cstheme="majorHAnsi"/>
        </w:rPr>
        <w:t xml:space="preserve"> </w:t>
      </w:r>
      <w:r w:rsidR="002B2219" w:rsidRPr="00CF470B">
        <w:rPr>
          <w:rFonts w:asciiTheme="majorHAnsi" w:hAnsiTheme="majorHAnsi" w:cstheme="majorHAnsi"/>
          <w:i/>
          <w:iCs/>
        </w:rPr>
        <w:t xml:space="preserve">“the Appellants have not given any indication as to how the clause in this case could be found to have been unfair to them.” </w:t>
      </w:r>
      <w:r w:rsidR="00960AEA" w:rsidRPr="00BE4D5F">
        <w:rPr>
          <w:rFonts w:asciiTheme="majorHAnsi" w:hAnsiTheme="majorHAnsi" w:cstheme="majorHAnsi"/>
        </w:rPr>
        <w:t xml:space="preserve"> Does this</w:t>
      </w:r>
      <w:r>
        <w:rPr>
          <w:rFonts w:asciiTheme="majorHAnsi" w:hAnsiTheme="majorHAnsi" w:cstheme="majorHAnsi"/>
        </w:rPr>
        <w:t xml:space="preserve"> </w:t>
      </w:r>
      <w:r w:rsidR="00960AEA" w:rsidRPr="00BE4D5F">
        <w:rPr>
          <w:rFonts w:asciiTheme="majorHAnsi" w:hAnsiTheme="majorHAnsi" w:cstheme="majorHAnsi"/>
        </w:rPr>
        <w:t>not suggest that the Supreme Court would welcome an opportunity, in another case, to delve into</w:t>
      </w:r>
      <w:r>
        <w:rPr>
          <w:rFonts w:asciiTheme="majorHAnsi" w:hAnsiTheme="majorHAnsi" w:cstheme="majorHAnsi"/>
        </w:rPr>
        <w:t xml:space="preserve"> </w:t>
      </w:r>
      <w:r w:rsidR="00960AEA" w:rsidRPr="00BE4D5F">
        <w:rPr>
          <w:rFonts w:asciiTheme="majorHAnsi" w:hAnsiTheme="majorHAnsi" w:cstheme="majorHAnsi"/>
        </w:rPr>
        <w:t xml:space="preserve">this issue also? </w:t>
      </w:r>
      <w:r w:rsidR="00BD28BB">
        <w:rPr>
          <w:rFonts w:asciiTheme="majorHAnsi" w:hAnsiTheme="majorHAnsi" w:cstheme="majorHAnsi"/>
        </w:rPr>
        <w:t>(The Supreme Court specifically referred back to a 2011 judgement of Judge Peart in which he rejected an unfair contract terms challenge on this issue on the basis that such clauses “</w:t>
      </w:r>
      <w:r w:rsidR="00BD28BB" w:rsidRPr="00CF470B">
        <w:rPr>
          <w:rFonts w:asciiTheme="majorHAnsi" w:hAnsiTheme="majorHAnsi" w:cstheme="majorHAnsi"/>
          <w:i/>
          <w:iCs/>
        </w:rPr>
        <w:t>are neither unusual, mysterious nor unlawful</w:t>
      </w:r>
      <w:r w:rsidR="00BD28BB">
        <w:rPr>
          <w:rFonts w:asciiTheme="majorHAnsi" w:hAnsiTheme="majorHAnsi" w:cstheme="majorHAnsi"/>
        </w:rPr>
        <w:t xml:space="preserve">.” </w:t>
      </w:r>
      <w:r w:rsidR="00E729C3">
        <w:rPr>
          <w:rFonts w:asciiTheme="majorHAnsi" w:hAnsiTheme="majorHAnsi" w:cstheme="majorHAnsi"/>
        </w:rPr>
        <w:t>No mention of “fairness</w:t>
      </w:r>
      <w:r w:rsidR="007D7E21">
        <w:rPr>
          <w:rFonts w:asciiTheme="majorHAnsi" w:hAnsiTheme="majorHAnsi" w:cstheme="majorHAnsi"/>
        </w:rPr>
        <w:t>.”</w:t>
      </w:r>
    </w:p>
    <w:p w14:paraId="452B0057" w14:textId="021467C5" w:rsidR="00BF53BF" w:rsidRDefault="00CF470B" w:rsidP="00CF470B">
      <w:pPr>
        <w:spacing w:after="40"/>
        <w:jc w:val="left"/>
        <w:rPr>
          <w:rFonts w:asciiTheme="majorHAnsi" w:hAnsiTheme="majorHAnsi" w:cstheme="majorHAnsi"/>
        </w:rPr>
      </w:pPr>
      <w:r>
        <w:rPr>
          <w:rFonts w:asciiTheme="majorHAnsi" w:hAnsiTheme="majorHAnsi" w:cstheme="majorHAnsi"/>
        </w:rPr>
        <w:t xml:space="preserve">Perhaps </w:t>
      </w:r>
      <w:r w:rsidR="00960AEA" w:rsidRPr="00BE4D5F">
        <w:rPr>
          <w:rFonts w:asciiTheme="majorHAnsi" w:hAnsiTheme="majorHAnsi" w:cstheme="majorHAnsi"/>
        </w:rPr>
        <w:t>trial judges need to look more closely at contract ter</w:t>
      </w:r>
      <w:r w:rsidR="00F913FC">
        <w:rPr>
          <w:rFonts w:asciiTheme="majorHAnsi" w:hAnsiTheme="majorHAnsi" w:cstheme="majorHAnsi"/>
        </w:rPr>
        <w:t>ms.</w:t>
      </w:r>
      <w:r>
        <w:rPr>
          <w:rFonts w:asciiTheme="majorHAnsi" w:hAnsiTheme="majorHAnsi" w:cstheme="majorHAnsi"/>
        </w:rPr>
        <w:t>)</w:t>
      </w:r>
    </w:p>
    <w:p w14:paraId="47475E8D" w14:textId="77777777" w:rsidR="00CF470B" w:rsidRDefault="00CF470B" w:rsidP="00AF6BF5">
      <w:pPr>
        <w:spacing w:after="40" w:line="240" w:lineRule="auto"/>
        <w:jc w:val="left"/>
        <w:rPr>
          <w:rFonts w:asciiTheme="majorHAnsi" w:hAnsiTheme="majorHAnsi" w:cstheme="majorHAnsi"/>
        </w:rPr>
      </w:pPr>
    </w:p>
    <w:p w14:paraId="7E129975" w14:textId="2F83A9B0" w:rsidR="00960AEA" w:rsidRPr="004B4D8B" w:rsidRDefault="001555EB" w:rsidP="00AF6BF5">
      <w:pPr>
        <w:spacing w:after="40" w:line="240" w:lineRule="auto"/>
        <w:jc w:val="left"/>
        <w:rPr>
          <w:rFonts w:asciiTheme="majorHAnsi" w:hAnsiTheme="majorHAnsi" w:cstheme="majorHAnsi"/>
          <w:u w:val="single"/>
        </w:rPr>
      </w:pPr>
      <w:r w:rsidRPr="004B4D8B">
        <w:rPr>
          <w:rFonts w:asciiTheme="majorHAnsi" w:hAnsiTheme="majorHAnsi" w:cstheme="majorHAnsi"/>
          <w:b/>
          <w:bCs/>
          <w:u w:val="single"/>
        </w:rPr>
        <w:t>Access to Justice</w:t>
      </w:r>
    </w:p>
    <w:p w14:paraId="652EF9E6" w14:textId="77777777" w:rsidR="00F56064" w:rsidRDefault="00F56064" w:rsidP="00AF6BF5">
      <w:pPr>
        <w:spacing w:after="40" w:line="240" w:lineRule="auto"/>
        <w:jc w:val="left"/>
        <w:rPr>
          <w:rFonts w:asciiTheme="majorHAnsi" w:hAnsiTheme="majorHAnsi" w:cstheme="majorHAnsi"/>
        </w:rPr>
      </w:pPr>
    </w:p>
    <w:p w14:paraId="258B040F" w14:textId="77777777" w:rsidR="00960AEA" w:rsidRPr="00AF71D4" w:rsidRDefault="00960AEA" w:rsidP="00AF6BF5">
      <w:pPr>
        <w:spacing w:after="40" w:line="240" w:lineRule="auto"/>
        <w:jc w:val="left"/>
        <w:rPr>
          <w:rFonts w:asciiTheme="majorHAnsi" w:hAnsiTheme="majorHAnsi" w:cstheme="majorHAnsi"/>
        </w:rPr>
      </w:pPr>
      <w:r w:rsidRPr="00AF71D4">
        <w:rPr>
          <w:rFonts w:asciiTheme="majorHAnsi" w:hAnsiTheme="majorHAnsi" w:cstheme="majorHAnsi"/>
        </w:rPr>
        <w:t xml:space="preserve">Writing in </w:t>
      </w:r>
      <w:r w:rsidRPr="00F56064">
        <w:rPr>
          <w:rFonts w:asciiTheme="majorHAnsi" w:hAnsiTheme="majorHAnsi" w:cstheme="majorHAnsi"/>
          <w:i/>
          <w:iCs/>
        </w:rPr>
        <w:t>Prospect</w:t>
      </w:r>
      <w:r w:rsidRPr="00AF71D4">
        <w:rPr>
          <w:rFonts w:asciiTheme="majorHAnsi" w:hAnsiTheme="majorHAnsi" w:cstheme="majorHAnsi"/>
        </w:rPr>
        <w:t xml:space="preserve"> magazine in 2018, David Neuberger, former </w:t>
      </w:r>
      <w:r>
        <w:rPr>
          <w:rFonts w:asciiTheme="majorHAnsi" w:hAnsiTheme="majorHAnsi" w:cstheme="majorHAnsi"/>
        </w:rPr>
        <w:t>P</w:t>
      </w:r>
      <w:r w:rsidRPr="00AF71D4">
        <w:rPr>
          <w:rFonts w:asciiTheme="majorHAnsi" w:hAnsiTheme="majorHAnsi" w:cstheme="majorHAnsi"/>
        </w:rPr>
        <w:t>resident of the UK Supreme Court,</w:t>
      </w:r>
    </w:p>
    <w:p w14:paraId="61277336" w14:textId="77777777" w:rsidR="00960AEA" w:rsidRPr="00F56064" w:rsidRDefault="00960AEA" w:rsidP="00AF6BF5">
      <w:pPr>
        <w:spacing w:after="40" w:line="240" w:lineRule="auto"/>
        <w:jc w:val="left"/>
        <w:rPr>
          <w:rFonts w:asciiTheme="majorHAnsi" w:hAnsiTheme="majorHAnsi" w:cstheme="majorHAnsi"/>
          <w:i/>
          <w:iCs/>
        </w:rPr>
      </w:pPr>
      <w:r w:rsidRPr="00AF71D4">
        <w:rPr>
          <w:rFonts w:asciiTheme="majorHAnsi" w:hAnsiTheme="majorHAnsi" w:cstheme="majorHAnsi"/>
        </w:rPr>
        <w:t xml:space="preserve">said: </w:t>
      </w:r>
      <w:r w:rsidRPr="00F56064">
        <w:rPr>
          <w:rFonts w:asciiTheme="majorHAnsi" w:hAnsiTheme="majorHAnsi" w:cstheme="majorHAnsi"/>
          <w:i/>
          <w:iCs/>
        </w:rPr>
        <w:t>“Without the rule of law, society becomes unjust, violent and poor. It is of fundamental</w:t>
      </w:r>
    </w:p>
    <w:p w14:paraId="417BCE8F" w14:textId="77777777" w:rsidR="00960AEA" w:rsidRPr="00F56064" w:rsidRDefault="00960AEA" w:rsidP="00AF6BF5">
      <w:pPr>
        <w:spacing w:after="40" w:line="240" w:lineRule="auto"/>
        <w:jc w:val="left"/>
        <w:rPr>
          <w:rFonts w:asciiTheme="majorHAnsi" w:hAnsiTheme="majorHAnsi" w:cstheme="majorHAnsi"/>
          <w:i/>
          <w:iCs/>
        </w:rPr>
      </w:pPr>
      <w:r w:rsidRPr="00F56064">
        <w:rPr>
          <w:rFonts w:asciiTheme="majorHAnsi" w:hAnsiTheme="majorHAnsi" w:cstheme="majorHAnsi"/>
          <w:i/>
          <w:iCs/>
        </w:rPr>
        <w:t>importance that Courts are open and accessible. Accessibility means that people with grievances and</w:t>
      </w:r>
    </w:p>
    <w:p w14:paraId="45B02C06" w14:textId="77777777" w:rsidR="00960AEA" w:rsidRPr="00F56064" w:rsidRDefault="00960AEA" w:rsidP="00AF6BF5">
      <w:pPr>
        <w:spacing w:after="40" w:line="240" w:lineRule="auto"/>
        <w:jc w:val="left"/>
        <w:rPr>
          <w:rFonts w:asciiTheme="majorHAnsi" w:hAnsiTheme="majorHAnsi" w:cstheme="majorHAnsi"/>
          <w:i/>
          <w:iCs/>
        </w:rPr>
      </w:pPr>
      <w:r w:rsidRPr="00F56064">
        <w:rPr>
          <w:rFonts w:asciiTheme="majorHAnsi" w:hAnsiTheme="majorHAnsi" w:cstheme="majorHAnsi"/>
          <w:i/>
          <w:iCs/>
        </w:rPr>
        <w:t>those being sued must get access to legal advice and to Courts. It is an affront to justice if people</w:t>
      </w:r>
    </w:p>
    <w:p w14:paraId="1295C77C" w14:textId="77777777" w:rsidR="00960AEA" w:rsidRPr="00F56064" w:rsidRDefault="00960AEA" w:rsidP="00AF6BF5">
      <w:pPr>
        <w:spacing w:after="40" w:line="240" w:lineRule="auto"/>
        <w:jc w:val="left"/>
        <w:rPr>
          <w:rFonts w:asciiTheme="majorHAnsi" w:hAnsiTheme="majorHAnsi" w:cstheme="majorHAnsi"/>
          <w:i/>
          <w:iCs/>
        </w:rPr>
      </w:pPr>
      <w:r w:rsidRPr="00F56064">
        <w:rPr>
          <w:rFonts w:asciiTheme="majorHAnsi" w:hAnsiTheme="majorHAnsi" w:cstheme="majorHAnsi"/>
          <w:i/>
          <w:iCs/>
        </w:rPr>
        <w:t>cannot understand or enforce their rights.”</w:t>
      </w:r>
    </w:p>
    <w:p w14:paraId="1712A9B4" w14:textId="77777777" w:rsidR="00960AEA" w:rsidRPr="00AF71D4" w:rsidRDefault="00960AEA" w:rsidP="00AF6BF5">
      <w:pPr>
        <w:spacing w:after="40" w:line="240" w:lineRule="auto"/>
        <w:jc w:val="left"/>
        <w:rPr>
          <w:rFonts w:asciiTheme="majorHAnsi" w:hAnsiTheme="majorHAnsi" w:cstheme="majorHAnsi"/>
        </w:rPr>
      </w:pPr>
    </w:p>
    <w:p w14:paraId="42052712" w14:textId="77777777" w:rsidR="00960AEA" w:rsidRPr="00AF71D4" w:rsidRDefault="00960AEA" w:rsidP="00AF6BF5">
      <w:pPr>
        <w:spacing w:after="40" w:line="240" w:lineRule="auto"/>
        <w:jc w:val="left"/>
        <w:rPr>
          <w:rFonts w:asciiTheme="majorHAnsi" w:hAnsiTheme="majorHAnsi" w:cstheme="majorHAnsi"/>
        </w:rPr>
      </w:pPr>
      <w:r w:rsidRPr="00AF71D4">
        <w:rPr>
          <w:rFonts w:asciiTheme="majorHAnsi" w:hAnsiTheme="majorHAnsi" w:cstheme="majorHAnsi"/>
        </w:rPr>
        <w:lastRenderedPageBreak/>
        <w:t>If you need insight into the shortcomings of our system, you could hardly do better than dig out and</w:t>
      </w:r>
    </w:p>
    <w:p w14:paraId="5AB8BEB8" w14:textId="77777777" w:rsidR="00960AEA" w:rsidRPr="00AF71D4" w:rsidRDefault="00960AEA" w:rsidP="00AF6BF5">
      <w:pPr>
        <w:spacing w:after="40" w:line="240" w:lineRule="auto"/>
        <w:jc w:val="left"/>
        <w:rPr>
          <w:rFonts w:asciiTheme="majorHAnsi" w:hAnsiTheme="majorHAnsi" w:cstheme="majorHAnsi"/>
        </w:rPr>
      </w:pPr>
      <w:r w:rsidRPr="00AF71D4">
        <w:rPr>
          <w:rFonts w:asciiTheme="majorHAnsi" w:hAnsiTheme="majorHAnsi" w:cstheme="majorHAnsi"/>
        </w:rPr>
        <w:t>read two written judgments of our High Court Judge Max Barrett. He plays a straight bat, but his</w:t>
      </w:r>
    </w:p>
    <w:p w14:paraId="2A94BD84" w14:textId="4660CC88" w:rsidR="00F56064" w:rsidRDefault="00960AEA" w:rsidP="00AF6BF5">
      <w:pPr>
        <w:spacing w:after="40" w:line="240" w:lineRule="auto"/>
        <w:jc w:val="left"/>
        <w:rPr>
          <w:rFonts w:asciiTheme="majorHAnsi" w:hAnsiTheme="majorHAnsi" w:cstheme="majorHAnsi"/>
        </w:rPr>
      </w:pPr>
      <w:r w:rsidRPr="00AF71D4">
        <w:rPr>
          <w:rFonts w:asciiTheme="majorHAnsi" w:hAnsiTheme="majorHAnsi" w:cstheme="majorHAnsi"/>
        </w:rPr>
        <w:t>unease is obvious.</w:t>
      </w:r>
      <w:r w:rsidR="00F56064" w:rsidRPr="00F56064">
        <w:rPr>
          <w:rFonts w:asciiTheme="majorHAnsi" w:hAnsiTheme="majorHAnsi" w:cstheme="majorHAnsi"/>
        </w:rPr>
        <w:t xml:space="preserve"> </w:t>
      </w:r>
      <w:r w:rsidR="00F56064">
        <w:rPr>
          <w:rFonts w:asciiTheme="majorHAnsi" w:hAnsiTheme="majorHAnsi" w:cstheme="majorHAnsi"/>
        </w:rPr>
        <w:t>(</w:t>
      </w:r>
      <w:r w:rsidR="00F56064" w:rsidRPr="002F2392">
        <w:rPr>
          <w:rFonts w:asciiTheme="majorHAnsi" w:hAnsiTheme="majorHAnsi" w:cstheme="majorHAnsi"/>
          <w:i/>
          <w:iCs/>
        </w:rPr>
        <w:t>Start v Cussen</w:t>
      </w:r>
      <w:r w:rsidR="00F56064" w:rsidRPr="00BE4D5F">
        <w:rPr>
          <w:rFonts w:asciiTheme="majorHAnsi" w:hAnsiTheme="majorHAnsi" w:cstheme="majorHAnsi"/>
        </w:rPr>
        <w:t xml:space="preserve"> </w:t>
      </w:r>
      <w:r w:rsidR="00F56064">
        <w:rPr>
          <w:rFonts w:asciiTheme="majorHAnsi" w:hAnsiTheme="majorHAnsi" w:cstheme="majorHAnsi"/>
        </w:rPr>
        <w:t>[</w:t>
      </w:r>
      <w:r w:rsidR="00F56064" w:rsidRPr="00BE4D5F">
        <w:rPr>
          <w:rFonts w:asciiTheme="majorHAnsi" w:hAnsiTheme="majorHAnsi" w:cstheme="majorHAnsi"/>
        </w:rPr>
        <w:t>2021</w:t>
      </w:r>
      <w:r w:rsidR="00F56064">
        <w:rPr>
          <w:rFonts w:asciiTheme="majorHAnsi" w:hAnsiTheme="majorHAnsi" w:cstheme="majorHAnsi"/>
        </w:rPr>
        <w:t>]</w:t>
      </w:r>
      <w:r w:rsidR="00F56064" w:rsidRPr="00BE4D5F">
        <w:rPr>
          <w:rFonts w:asciiTheme="majorHAnsi" w:hAnsiTheme="majorHAnsi" w:cstheme="majorHAnsi"/>
        </w:rPr>
        <w:t xml:space="preserve"> IEHC </w:t>
      </w:r>
      <w:proofErr w:type="gramStart"/>
      <w:r w:rsidR="00F56064" w:rsidRPr="00BE4D5F">
        <w:rPr>
          <w:rFonts w:asciiTheme="majorHAnsi" w:hAnsiTheme="majorHAnsi" w:cstheme="majorHAnsi"/>
        </w:rPr>
        <w:t xml:space="preserve">531 </w:t>
      </w:r>
      <w:r w:rsidR="00F56064">
        <w:rPr>
          <w:rFonts w:asciiTheme="majorHAnsi" w:hAnsiTheme="majorHAnsi" w:cstheme="majorHAnsi"/>
        </w:rPr>
        <w:t>;</w:t>
      </w:r>
      <w:proofErr w:type="gramEnd"/>
      <w:r w:rsidR="00F56064">
        <w:rPr>
          <w:rFonts w:asciiTheme="majorHAnsi" w:hAnsiTheme="majorHAnsi" w:cstheme="majorHAnsi"/>
        </w:rPr>
        <w:t xml:space="preserve"> </w:t>
      </w:r>
      <w:r w:rsidR="00F56064" w:rsidRPr="002F2392">
        <w:rPr>
          <w:rFonts w:asciiTheme="majorHAnsi" w:hAnsiTheme="majorHAnsi" w:cstheme="majorHAnsi"/>
          <w:i/>
          <w:iCs/>
        </w:rPr>
        <w:t>EBS v Ryan</w:t>
      </w:r>
      <w:r w:rsidR="00F56064" w:rsidRPr="00BE4D5F">
        <w:rPr>
          <w:rFonts w:asciiTheme="majorHAnsi" w:hAnsiTheme="majorHAnsi" w:cstheme="majorHAnsi"/>
        </w:rPr>
        <w:t xml:space="preserve"> [2020] IEHC 212</w:t>
      </w:r>
      <w:r w:rsidR="00F56064">
        <w:rPr>
          <w:rFonts w:asciiTheme="majorHAnsi" w:hAnsiTheme="majorHAnsi" w:cstheme="majorHAnsi"/>
        </w:rPr>
        <w:t>)</w:t>
      </w:r>
      <w:r w:rsidR="00052547">
        <w:rPr>
          <w:rFonts w:asciiTheme="majorHAnsi" w:hAnsiTheme="majorHAnsi" w:cstheme="majorHAnsi"/>
        </w:rPr>
        <w:t>.</w:t>
      </w:r>
    </w:p>
    <w:p w14:paraId="5D92AE51" w14:textId="77777777" w:rsidR="00960AEA" w:rsidRPr="00AF71D4" w:rsidRDefault="00960AEA" w:rsidP="00AF6BF5">
      <w:pPr>
        <w:spacing w:after="40" w:line="240" w:lineRule="auto"/>
        <w:jc w:val="left"/>
        <w:rPr>
          <w:rFonts w:asciiTheme="majorHAnsi" w:hAnsiTheme="majorHAnsi" w:cstheme="majorHAnsi"/>
        </w:rPr>
      </w:pPr>
    </w:p>
    <w:p w14:paraId="5F364C70" w14:textId="77777777" w:rsidR="00960AEA" w:rsidRPr="00AF71D4" w:rsidRDefault="00960AEA" w:rsidP="00AF6BF5">
      <w:pPr>
        <w:spacing w:after="40" w:line="240" w:lineRule="auto"/>
        <w:jc w:val="left"/>
        <w:rPr>
          <w:rFonts w:asciiTheme="majorHAnsi" w:hAnsiTheme="majorHAnsi" w:cstheme="majorHAnsi"/>
        </w:rPr>
      </w:pPr>
      <w:r w:rsidRPr="00AF71D4">
        <w:rPr>
          <w:rFonts w:asciiTheme="majorHAnsi" w:hAnsiTheme="majorHAnsi" w:cstheme="majorHAnsi"/>
        </w:rPr>
        <w:t xml:space="preserve">Looking over our </w:t>
      </w:r>
      <w:r>
        <w:rPr>
          <w:rFonts w:asciiTheme="majorHAnsi" w:hAnsiTheme="majorHAnsi" w:cstheme="majorHAnsi"/>
        </w:rPr>
        <w:t>J</w:t>
      </w:r>
      <w:r w:rsidRPr="00AF71D4">
        <w:rPr>
          <w:rFonts w:asciiTheme="majorHAnsi" w:hAnsiTheme="majorHAnsi" w:cstheme="majorHAnsi"/>
        </w:rPr>
        <w:t>udges’ shoulders, the European Court of Human Rights frequently insists on access</w:t>
      </w:r>
    </w:p>
    <w:p w14:paraId="411F5DEC" w14:textId="77777777" w:rsidR="00960AEA" w:rsidRPr="00AF71D4" w:rsidRDefault="00960AEA" w:rsidP="00AF6BF5">
      <w:pPr>
        <w:spacing w:after="40" w:line="240" w:lineRule="auto"/>
        <w:jc w:val="left"/>
        <w:rPr>
          <w:rFonts w:asciiTheme="majorHAnsi" w:hAnsiTheme="majorHAnsi" w:cstheme="majorHAnsi"/>
        </w:rPr>
      </w:pPr>
      <w:r w:rsidRPr="00AF71D4">
        <w:rPr>
          <w:rFonts w:asciiTheme="majorHAnsi" w:hAnsiTheme="majorHAnsi" w:cstheme="majorHAnsi"/>
        </w:rPr>
        <w:t>to courts allowing for “</w:t>
      </w:r>
      <w:r w:rsidRPr="00BD28BB">
        <w:rPr>
          <w:rFonts w:asciiTheme="majorHAnsi" w:hAnsiTheme="majorHAnsi" w:cstheme="majorHAnsi"/>
          <w:i/>
          <w:iCs/>
        </w:rPr>
        <w:t>effective participation</w:t>
      </w:r>
      <w:r>
        <w:rPr>
          <w:rFonts w:asciiTheme="majorHAnsi" w:hAnsiTheme="majorHAnsi" w:cstheme="majorHAnsi"/>
        </w:rPr>
        <w:t>,</w:t>
      </w:r>
      <w:r w:rsidRPr="00AF71D4">
        <w:rPr>
          <w:rFonts w:asciiTheme="majorHAnsi" w:hAnsiTheme="majorHAnsi" w:cstheme="majorHAnsi"/>
        </w:rPr>
        <w:t>”</w:t>
      </w:r>
      <w:r>
        <w:rPr>
          <w:rFonts w:asciiTheme="majorHAnsi" w:hAnsiTheme="majorHAnsi" w:cstheme="majorHAnsi"/>
        </w:rPr>
        <w:t xml:space="preserve"> </w:t>
      </w:r>
      <w:r w:rsidRPr="00AF71D4">
        <w:rPr>
          <w:rFonts w:asciiTheme="majorHAnsi" w:hAnsiTheme="majorHAnsi" w:cstheme="majorHAnsi"/>
        </w:rPr>
        <w:t>and this ECHR Article 6 prescription is further</w:t>
      </w:r>
    </w:p>
    <w:p w14:paraId="6B62FC86" w14:textId="77777777" w:rsidR="00960AEA" w:rsidRPr="00AF71D4" w:rsidRDefault="00960AEA" w:rsidP="00AF6BF5">
      <w:pPr>
        <w:spacing w:after="40" w:line="240" w:lineRule="auto"/>
        <w:jc w:val="left"/>
        <w:rPr>
          <w:rFonts w:asciiTheme="majorHAnsi" w:hAnsiTheme="majorHAnsi" w:cstheme="majorHAnsi"/>
        </w:rPr>
      </w:pPr>
      <w:r w:rsidRPr="00AF71D4">
        <w:rPr>
          <w:rFonts w:asciiTheme="majorHAnsi" w:hAnsiTheme="majorHAnsi" w:cstheme="majorHAnsi"/>
        </w:rPr>
        <w:t>bolstered by the EU’s own Charter of Fundamental Rights, applying due process guardrails (A.47) to</w:t>
      </w:r>
    </w:p>
    <w:p w14:paraId="4F7EA00F" w14:textId="77777777" w:rsidR="00960AEA" w:rsidRPr="00AF71D4" w:rsidRDefault="00960AEA" w:rsidP="00AF6BF5">
      <w:pPr>
        <w:spacing w:after="40" w:line="240" w:lineRule="auto"/>
        <w:jc w:val="left"/>
        <w:rPr>
          <w:rFonts w:asciiTheme="majorHAnsi" w:hAnsiTheme="majorHAnsi" w:cstheme="majorHAnsi"/>
        </w:rPr>
      </w:pPr>
      <w:r w:rsidRPr="00AF71D4">
        <w:rPr>
          <w:rFonts w:asciiTheme="majorHAnsi" w:hAnsiTheme="majorHAnsi" w:cstheme="majorHAnsi"/>
        </w:rPr>
        <w:t>all litigation referencing EU law. Note: once mortgage credit materiali</w:t>
      </w:r>
      <w:r>
        <w:rPr>
          <w:rFonts w:asciiTheme="majorHAnsi" w:hAnsiTheme="majorHAnsi" w:cstheme="majorHAnsi"/>
        </w:rPr>
        <w:t>s</w:t>
      </w:r>
      <w:r w:rsidRPr="00AF71D4">
        <w:rPr>
          <w:rFonts w:asciiTheme="majorHAnsi" w:hAnsiTheme="majorHAnsi" w:cstheme="majorHAnsi"/>
        </w:rPr>
        <w:t>ed in the form of an EU</w:t>
      </w:r>
    </w:p>
    <w:p w14:paraId="47CF3132" w14:textId="77777777" w:rsidR="00960AEA" w:rsidRDefault="00960AEA" w:rsidP="00AF6BF5">
      <w:pPr>
        <w:spacing w:after="40" w:line="240" w:lineRule="auto"/>
        <w:jc w:val="left"/>
        <w:rPr>
          <w:rFonts w:asciiTheme="majorHAnsi" w:hAnsiTheme="majorHAnsi" w:cstheme="majorHAnsi"/>
        </w:rPr>
      </w:pPr>
      <w:r w:rsidRPr="00AF71D4">
        <w:rPr>
          <w:rFonts w:asciiTheme="majorHAnsi" w:hAnsiTheme="majorHAnsi" w:cstheme="majorHAnsi"/>
        </w:rPr>
        <w:t>Directive, the Charter is engaged.</w:t>
      </w:r>
    </w:p>
    <w:p w14:paraId="729F2B85" w14:textId="77777777" w:rsidR="00960AEA" w:rsidRPr="00AF71D4" w:rsidRDefault="00960AEA" w:rsidP="00AF6BF5">
      <w:pPr>
        <w:spacing w:after="40" w:line="240" w:lineRule="auto"/>
        <w:jc w:val="left"/>
        <w:rPr>
          <w:rFonts w:asciiTheme="majorHAnsi" w:hAnsiTheme="majorHAnsi" w:cstheme="majorHAnsi"/>
        </w:rPr>
      </w:pPr>
    </w:p>
    <w:p w14:paraId="5F557DC8" w14:textId="77777777" w:rsidR="00960AEA" w:rsidRPr="00AF71D4" w:rsidRDefault="00960AEA" w:rsidP="00AF6BF5">
      <w:pPr>
        <w:spacing w:after="40" w:line="240" w:lineRule="auto"/>
        <w:jc w:val="left"/>
        <w:rPr>
          <w:rFonts w:asciiTheme="majorHAnsi" w:hAnsiTheme="majorHAnsi" w:cstheme="majorHAnsi"/>
        </w:rPr>
      </w:pPr>
      <w:r w:rsidRPr="00AF71D4">
        <w:rPr>
          <w:rFonts w:asciiTheme="majorHAnsi" w:hAnsiTheme="majorHAnsi" w:cstheme="majorHAnsi"/>
        </w:rPr>
        <w:t>In the absence of significant legal aid for housing cases here, will any litigant manage to “participate”</w:t>
      </w:r>
    </w:p>
    <w:p w14:paraId="6DC75438" w14:textId="77777777" w:rsidR="00960AEA" w:rsidRPr="00AF71D4" w:rsidRDefault="00960AEA" w:rsidP="00AF6BF5">
      <w:pPr>
        <w:spacing w:after="40" w:line="240" w:lineRule="auto"/>
        <w:jc w:val="left"/>
        <w:rPr>
          <w:rFonts w:asciiTheme="majorHAnsi" w:hAnsiTheme="majorHAnsi" w:cstheme="majorHAnsi"/>
        </w:rPr>
      </w:pPr>
      <w:r w:rsidRPr="00AF71D4">
        <w:rPr>
          <w:rFonts w:asciiTheme="majorHAnsi" w:hAnsiTheme="majorHAnsi" w:cstheme="majorHAnsi"/>
        </w:rPr>
        <w:t>to the extent of raising specific issues regarding either (a) the new forbearance moratorium under</w:t>
      </w:r>
    </w:p>
    <w:p w14:paraId="12F6DE22" w14:textId="10E1D08E" w:rsidR="00960AEA" w:rsidRPr="00AF71D4" w:rsidRDefault="00960AEA" w:rsidP="00AF6BF5">
      <w:pPr>
        <w:spacing w:after="40" w:line="240" w:lineRule="auto"/>
        <w:jc w:val="left"/>
        <w:rPr>
          <w:rFonts w:asciiTheme="majorHAnsi" w:hAnsiTheme="majorHAnsi" w:cstheme="majorHAnsi"/>
        </w:rPr>
      </w:pPr>
      <w:r w:rsidRPr="00AF71D4">
        <w:rPr>
          <w:rFonts w:asciiTheme="majorHAnsi" w:hAnsiTheme="majorHAnsi" w:cstheme="majorHAnsi"/>
        </w:rPr>
        <w:t xml:space="preserve">the amended Article 28, or (b) </w:t>
      </w:r>
      <w:r w:rsidRPr="00423066">
        <w:rPr>
          <w:rFonts w:asciiTheme="majorHAnsi" w:hAnsiTheme="majorHAnsi" w:cstheme="majorHAnsi"/>
        </w:rPr>
        <w:t>the</w:t>
      </w:r>
      <w:r w:rsidRPr="00AF71D4">
        <w:rPr>
          <w:rFonts w:asciiTheme="majorHAnsi" w:hAnsiTheme="majorHAnsi" w:cstheme="majorHAnsi"/>
        </w:rPr>
        <w:t xml:space="preserve"> specifics, the intelligibility</w:t>
      </w:r>
      <w:r w:rsidR="00052547">
        <w:rPr>
          <w:rFonts w:asciiTheme="majorHAnsi" w:hAnsiTheme="majorHAnsi" w:cstheme="majorHAnsi"/>
        </w:rPr>
        <w:t>,</w:t>
      </w:r>
      <w:r w:rsidRPr="00AF71D4">
        <w:rPr>
          <w:rFonts w:asciiTheme="majorHAnsi" w:hAnsiTheme="majorHAnsi" w:cstheme="majorHAnsi"/>
        </w:rPr>
        <w:t xml:space="preserve"> and the bona fides of contract terms in</w:t>
      </w:r>
    </w:p>
    <w:p w14:paraId="0530A307" w14:textId="77777777" w:rsidR="00423066" w:rsidRDefault="00960AEA" w:rsidP="00AF6BF5">
      <w:pPr>
        <w:spacing w:after="40" w:line="240" w:lineRule="auto"/>
        <w:jc w:val="left"/>
        <w:rPr>
          <w:rFonts w:asciiTheme="majorHAnsi" w:hAnsiTheme="majorHAnsi" w:cstheme="majorHAnsi"/>
        </w:rPr>
      </w:pPr>
      <w:r w:rsidRPr="00AF71D4">
        <w:rPr>
          <w:rFonts w:asciiTheme="majorHAnsi" w:hAnsiTheme="majorHAnsi" w:cstheme="majorHAnsi"/>
        </w:rPr>
        <w:t>consumer contracts of adhesion? Or both (a) and (b)</w:t>
      </w:r>
      <w:r w:rsidR="00423066">
        <w:rPr>
          <w:rFonts w:asciiTheme="majorHAnsi" w:hAnsiTheme="majorHAnsi" w:cstheme="majorHAnsi"/>
        </w:rPr>
        <w:t>?</w:t>
      </w:r>
    </w:p>
    <w:p w14:paraId="101F22FF" w14:textId="77777777" w:rsidR="00423066" w:rsidRDefault="00423066" w:rsidP="00AF6BF5">
      <w:pPr>
        <w:spacing w:after="40" w:line="240" w:lineRule="auto"/>
        <w:jc w:val="left"/>
        <w:rPr>
          <w:rFonts w:asciiTheme="majorHAnsi" w:hAnsiTheme="majorHAnsi" w:cstheme="majorHAnsi"/>
        </w:rPr>
      </w:pPr>
    </w:p>
    <w:p w14:paraId="6229FD70" w14:textId="4E84A2A2" w:rsidR="00052547" w:rsidRDefault="00960AEA" w:rsidP="00CF470B">
      <w:pPr>
        <w:spacing w:after="40" w:line="240" w:lineRule="auto"/>
        <w:jc w:val="left"/>
        <w:rPr>
          <w:rFonts w:asciiTheme="majorHAnsi" w:hAnsiTheme="majorHAnsi" w:cstheme="majorHAnsi"/>
        </w:rPr>
      </w:pPr>
      <w:r w:rsidRPr="00423066">
        <w:rPr>
          <w:rFonts w:asciiTheme="majorHAnsi" w:hAnsiTheme="majorHAnsi" w:cstheme="majorHAnsi"/>
        </w:rPr>
        <w:t>When we find the Court of Appeal having to</w:t>
      </w:r>
      <w:r w:rsidR="003A0B72" w:rsidRPr="00423066">
        <w:rPr>
          <w:rFonts w:asciiTheme="majorHAnsi" w:hAnsiTheme="majorHAnsi" w:cstheme="majorHAnsi"/>
        </w:rPr>
        <w:t xml:space="preserve"> </w:t>
      </w:r>
      <w:r w:rsidRPr="00423066">
        <w:rPr>
          <w:rFonts w:asciiTheme="majorHAnsi" w:hAnsiTheme="majorHAnsi" w:cstheme="majorHAnsi"/>
        </w:rPr>
        <w:t>spell out to a trial judge that he was wrong to read hearsay evidence, objection notwithstanding,</w:t>
      </w:r>
      <w:r w:rsidR="003A0B72" w:rsidRPr="00423066">
        <w:rPr>
          <w:rFonts w:asciiTheme="majorHAnsi" w:hAnsiTheme="majorHAnsi" w:cstheme="majorHAnsi"/>
        </w:rPr>
        <w:t xml:space="preserve"> </w:t>
      </w:r>
      <w:r w:rsidRPr="00423066">
        <w:rPr>
          <w:rFonts w:asciiTheme="majorHAnsi" w:hAnsiTheme="majorHAnsi" w:cstheme="majorHAnsi"/>
        </w:rPr>
        <w:t xml:space="preserve">and then </w:t>
      </w:r>
      <w:r w:rsidRPr="00423066">
        <w:rPr>
          <w:rFonts w:asciiTheme="majorHAnsi" w:hAnsiTheme="majorHAnsi" w:cstheme="majorHAnsi"/>
          <w:i/>
          <w:iCs/>
        </w:rPr>
        <w:t>“simply refraining from referencing the documents in the judgment delivered… without</w:t>
      </w:r>
      <w:r w:rsidR="003A0B72" w:rsidRPr="00423066">
        <w:rPr>
          <w:rFonts w:asciiTheme="majorHAnsi" w:hAnsiTheme="majorHAnsi" w:cstheme="majorHAnsi"/>
          <w:i/>
          <w:iCs/>
        </w:rPr>
        <w:t xml:space="preserve"> </w:t>
      </w:r>
      <w:r w:rsidRPr="00423066">
        <w:rPr>
          <w:rFonts w:asciiTheme="majorHAnsi" w:hAnsiTheme="majorHAnsi" w:cstheme="majorHAnsi"/>
          <w:i/>
          <w:iCs/>
        </w:rPr>
        <w:t>expressly ruling on admissibility or engaging with the consequences</w:t>
      </w:r>
      <w:r w:rsidR="003A0B72" w:rsidRPr="00423066">
        <w:rPr>
          <w:rFonts w:asciiTheme="majorHAnsi" w:hAnsiTheme="majorHAnsi" w:cstheme="majorHAnsi"/>
          <w:i/>
          <w:iCs/>
        </w:rPr>
        <w:t xml:space="preserve"> </w:t>
      </w:r>
      <w:r w:rsidRPr="00423066">
        <w:rPr>
          <w:rFonts w:asciiTheme="majorHAnsi" w:hAnsiTheme="majorHAnsi" w:cstheme="majorHAnsi"/>
          <w:i/>
          <w:iCs/>
        </w:rPr>
        <w:t>of the ruling.”</w:t>
      </w:r>
      <w:r w:rsidRPr="00423066">
        <w:rPr>
          <w:rFonts w:asciiTheme="majorHAnsi" w:hAnsiTheme="majorHAnsi" w:cstheme="majorHAnsi"/>
        </w:rPr>
        <w:t xml:space="preserve"> (</w:t>
      </w:r>
      <w:r w:rsidRPr="00423066">
        <w:rPr>
          <w:rFonts w:asciiTheme="majorHAnsi" w:hAnsiTheme="majorHAnsi" w:cstheme="majorHAnsi"/>
          <w:i/>
          <w:iCs/>
        </w:rPr>
        <w:t>Comerford v</w:t>
      </w:r>
      <w:r w:rsidR="003A0B72" w:rsidRPr="00423066">
        <w:rPr>
          <w:rFonts w:asciiTheme="majorHAnsi" w:hAnsiTheme="majorHAnsi" w:cstheme="majorHAnsi"/>
          <w:i/>
          <w:iCs/>
        </w:rPr>
        <w:t xml:space="preserve"> </w:t>
      </w:r>
      <w:r w:rsidRPr="00423066">
        <w:rPr>
          <w:rFonts w:asciiTheme="majorHAnsi" w:hAnsiTheme="majorHAnsi" w:cstheme="majorHAnsi"/>
          <w:i/>
          <w:iCs/>
        </w:rPr>
        <w:t xml:space="preserve">Carlow </w:t>
      </w:r>
      <w:proofErr w:type="spellStart"/>
      <w:r w:rsidRPr="00423066">
        <w:rPr>
          <w:rFonts w:asciiTheme="majorHAnsi" w:hAnsiTheme="majorHAnsi" w:cstheme="majorHAnsi"/>
          <w:i/>
          <w:iCs/>
        </w:rPr>
        <w:t>Co.Co</w:t>
      </w:r>
      <w:proofErr w:type="spellEnd"/>
      <w:r w:rsidR="00F56064" w:rsidRPr="00423066">
        <w:rPr>
          <w:rFonts w:asciiTheme="majorHAnsi" w:hAnsiTheme="majorHAnsi" w:cstheme="majorHAnsi"/>
          <w:i/>
          <w:iCs/>
        </w:rPr>
        <w:t>.</w:t>
      </w:r>
      <w:r w:rsidRPr="00423066">
        <w:rPr>
          <w:rFonts w:asciiTheme="majorHAnsi" w:hAnsiTheme="majorHAnsi" w:cstheme="majorHAnsi"/>
        </w:rPr>
        <w:t xml:space="preserve"> [2021] IECA 253), what hope is there for reasoned rulings on all these new complex</w:t>
      </w:r>
      <w:r w:rsidR="003A0B72" w:rsidRPr="00423066">
        <w:rPr>
          <w:rFonts w:asciiTheme="majorHAnsi" w:hAnsiTheme="majorHAnsi" w:cstheme="majorHAnsi"/>
        </w:rPr>
        <w:t xml:space="preserve"> </w:t>
      </w:r>
      <w:r w:rsidRPr="00423066">
        <w:rPr>
          <w:rFonts w:asciiTheme="majorHAnsi" w:hAnsiTheme="majorHAnsi" w:cstheme="majorHAnsi"/>
        </w:rPr>
        <w:t>issues in consumer mortgage litigation (mostly, when the lay litigant doesn’t even know he can</w:t>
      </w:r>
      <w:r w:rsidR="003A0B72" w:rsidRPr="00423066">
        <w:rPr>
          <w:rFonts w:asciiTheme="majorHAnsi" w:hAnsiTheme="majorHAnsi" w:cstheme="majorHAnsi"/>
        </w:rPr>
        <w:t xml:space="preserve"> </w:t>
      </w:r>
      <w:r w:rsidRPr="00423066">
        <w:rPr>
          <w:rFonts w:asciiTheme="majorHAnsi" w:hAnsiTheme="majorHAnsi" w:cstheme="majorHAnsi"/>
        </w:rPr>
        <w:t>object!).</w:t>
      </w:r>
    </w:p>
    <w:p w14:paraId="695FBAD8" w14:textId="77777777" w:rsidR="00CF470B" w:rsidRPr="00CF470B" w:rsidRDefault="00CF470B" w:rsidP="00CF470B">
      <w:pPr>
        <w:spacing w:after="40" w:line="240" w:lineRule="auto"/>
        <w:jc w:val="left"/>
        <w:rPr>
          <w:rFonts w:asciiTheme="majorHAnsi" w:hAnsiTheme="majorHAnsi" w:cstheme="majorHAnsi"/>
        </w:rPr>
      </w:pPr>
    </w:p>
    <w:p w14:paraId="40C37C84" w14:textId="77777777" w:rsidR="00CF470B" w:rsidRDefault="00E1185A" w:rsidP="00AF6BF5">
      <w:pPr>
        <w:spacing w:line="240" w:lineRule="auto"/>
        <w:jc w:val="left"/>
        <w:rPr>
          <w:rFonts w:asciiTheme="majorHAnsi" w:hAnsiTheme="majorHAnsi" w:cstheme="majorHAnsi"/>
          <w:b/>
          <w:bCs/>
          <w:u w:val="single"/>
        </w:rPr>
      </w:pPr>
      <w:r w:rsidRPr="004B4D8B">
        <w:rPr>
          <w:rFonts w:asciiTheme="majorHAnsi" w:hAnsiTheme="majorHAnsi" w:cstheme="majorHAnsi"/>
          <w:b/>
          <w:bCs/>
          <w:u w:val="single"/>
        </w:rPr>
        <w:t>Regulatory role of the Central Bank</w:t>
      </w:r>
    </w:p>
    <w:p w14:paraId="45359FDC" w14:textId="268CB763" w:rsidR="00E1185A" w:rsidRPr="00CF470B" w:rsidRDefault="00E1185A" w:rsidP="00AF6BF5">
      <w:pPr>
        <w:spacing w:line="240" w:lineRule="auto"/>
        <w:jc w:val="left"/>
        <w:rPr>
          <w:rFonts w:asciiTheme="majorHAnsi" w:hAnsiTheme="majorHAnsi" w:cstheme="majorHAnsi"/>
          <w:b/>
          <w:bCs/>
          <w:u w:val="single"/>
        </w:rPr>
      </w:pPr>
      <w:r w:rsidRPr="00925D7A">
        <w:rPr>
          <w:rFonts w:asciiTheme="majorHAnsi" w:hAnsiTheme="majorHAnsi" w:cstheme="majorHAnsi"/>
        </w:rPr>
        <w:t>In adversarial court proceedings with “</w:t>
      </w:r>
      <w:r w:rsidRPr="00925D7A">
        <w:rPr>
          <w:rFonts w:asciiTheme="majorHAnsi" w:hAnsiTheme="majorHAnsi" w:cstheme="majorHAnsi"/>
          <w:i/>
          <w:iCs/>
        </w:rPr>
        <w:t>inequality of arms”</w:t>
      </w:r>
      <w:r w:rsidRPr="00925D7A">
        <w:rPr>
          <w:rFonts w:asciiTheme="majorHAnsi" w:hAnsiTheme="majorHAnsi" w:cstheme="majorHAnsi"/>
        </w:rPr>
        <w:t xml:space="preserve"> (see C-600/19 </w:t>
      </w:r>
      <w:proofErr w:type="spellStart"/>
      <w:r w:rsidRPr="002F2392">
        <w:rPr>
          <w:rFonts w:asciiTheme="majorHAnsi" w:hAnsiTheme="majorHAnsi" w:cstheme="majorHAnsi"/>
          <w:i/>
          <w:iCs/>
        </w:rPr>
        <w:t>Ibercaja</w:t>
      </w:r>
      <w:proofErr w:type="spellEnd"/>
      <w:r w:rsidRPr="002F2392">
        <w:rPr>
          <w:rFonts w:asciiTheme="majorHAnsi" w:hAnsiTheme="majorHAnsi" w:cstheme="majorHAnsi"/>
          <w:i/>
          <w:iCs/>
        </w:rPr>
        <w:t xml:space="preserve"> Banco</w:t>
      </w:r>
      <w:r w:rsidRPr="00925D7A">
        <w:rPr>
          <w:rFonts w:asciiTheme="majorHAnsi" w:hAnsiTheme="majorHAnsi" w:cstheme="majorHAnsi"/>
        </w:rPr>
        <w:t xml:space="preserve"> in regard to the financial resources of debtors in default) the principle of effective</w:t>
      </w:r>
      <w:r w:rsidRPr="00BD28BB">
        <w:rPr>
          <w:rFonts w:asciiTheme="majorHAnsi" w:hAnsiTheme="majorHAnsi" w:cstheme="majorHAnsi"/>
          <w:i/>
          <w:iCs/>
        </w:rPr>
        <w:t xml:space="preserve"> judicial </w:t>
      </w:r>
      <w:r w:rsidRPr="00925D7A">
        <w:rPr>
          <w:rFonts w:asciiTheme="majorHAnsi" w:hAnsiTheme="majorHAnsi" w:cstheme="majorHAnsi"/>
        </w:rPr>
        <w:t>protection applies.</w:t>
      </w:r>
    </w:p>
    <w:p w14:paraId="59F991E2" w14:textId="39E21FEE" w:rsidR="00CF470B" w:rsidRDefault="00E1185A" w:rsidP="00CF470B">
      <w:pPr>
        <w:spacing w:after="40" w:line="240" w:lineRule="auto"/>
        <w:jc w:val="left"/>
        <w:rPr>
          <w:rFonts w:asciiTheme="majorHAnsi" w:hAnsiTheme="majorHAnsi" w:cstheme="majorHAnsi"/>
        </w:rPr>
      </w:pPr>
      <w:r w:rsidRPr="00AF71D4">
        <w:rPr>
          <w:rFonts w:asciiTheme="majorHAnsi" w:hAnsiTheme="majorHAnsi" w:cstheme="majorHAnsi"/>
        </w:rPr>
        <w:t>There is another way. In the Consumer Rights Act 202</w:t>
      </w:r>
      <w:r w:rsidR="00CA0C83">
        <w:rPr>
          <w:rFonts w:asciiTheme="majorHAnsi" w:hAnsiTheme="majorHAnsi" w:cstheme="majorHAnsi"/>
        </w:rPr>
        <w:t>2</w:t>
      </w:r>
      <w:r w:rsidRPr="00AF71D4">
        <w:rPr>
          <w:rFonts w:asciiTheme="majorHAnsi" w:hAnsiTheme="majorHAnsi" w:cstheme="majorHAnsi"/>
        </w:rPr>
        <w:t>, the Central Bank, as regulator, is equipped</w:t>
      </w:r>
      <w:r w:rsidR="00CF470B">
        <w:rPr>
          <w:rFonts w:asciiTheme="majorHAnsi" w:hAnsiTheme="majorHAnsi" w:cstheme="majorHAnsi"/>
        </w:rPr>
        <w:t xml:space="preserve"> </w:t>
      </w:r>
      <w:r w:rsidR="00CF470B" w:rsidRPr="00AF71D4">
        <w:rPr>
          <w:rFonts w:asciiTheme="majorHAnsi" w:hAnsiTheme="majorHAnsi" w:cstheme="majorHAnsi"/>
        </w:rPr>
        <w:t>with the tools to raise these issues</w:t>
      </w:r>
      <w:r w:rsidR="00CF470B">
        <w:rPr>
          <w:rFonts w:asciiTheme="majorHAnsi" w:hAnsiTheme="majorHAnsi" w:cstheme="majorHAnsi"/>
        </w:rPr>
        <w:t xml:space="preserve"> in</w:t>
      </w:r>
      <w:r w:rsidR="00CF470B" w:rsidRPr="00CF470B">
        <w:rPr>
          <w:rFonts w:asciiTheme="majorHAnsi" w:hAnsiTheme="majorHAnsi" w:cstheme="majorHAnsi"/>
        </w:rPr>
        <w:t xml:space="preserve"> </w:t>
      </w:r>
      <w:r w:rsidR="00CF470B">
        <w:rPr>
          <w:rFonts w:asciiTheme="majorHAnsi" w:hAnsiTheme="majorHAnsi" w:cstheme="majorHAnsi"/>
        </w:rPr>
        <w:t xml:space="preserve">court. A </w:t>
      </w:r>
      <w:r w:rsidR="00CF470B" w:rsidRPr="00925D7A">
        <w:rPr>
          <w:rFonts w:asciiTheme="majorHAnsi" w:hAnsiTheme="majorHAnsi" w:cstheme="majorHAnsi"/>
        </w:rPr>
        <w:t>hands</w:t>
      </w:r>
      <w:r w:rsidR="00CF470B">
        <w:rPr>
          <w:rFonts w:asciiTheme="majorHAnsi" w:hAnsiTheme="majorHAnsi" w:cstheme="majorHAnsi"/>
        </w:rPr>
        <w:t>-</w:t>
      </w:r>
      <w:r w:rsidR="00CF470B" w:rsidRPr="00925D7A">
        <w:rPr>
          <w:rFonts w:asciiTheme="majorHAnsi" w:hAnsiTheme="majorHAnsi" w:cstheme="majorHAnsi"/>
        </w:rPr>
        <w:t>on approach by the regulator could raise issues of substance in regard to contract terms in suits seeking declaratory reliefs against credit purchasers and/or credit servicers.</w:t>
      </w:r>
      <w:r w:rsidR="00CF470B" w:rsidRPr="00CA0C83">
        <w:rPr>
          <w:rFonts w:asciiTheme="majorHAnsi" w:hAnsiTheme="majorHAnsi" w:cstheme="majorHAnsi"/>
        </w:rPr>
        <w:t xml:space="preserve"> </w:t>
      </w:r>
      <w:r w:rsidR="00CF470B" w:rsidRPr="00925D7A">
        <w:rPr>
          <w:rFonts w:asciiTheme="majorHAnsi" w:hAnsiTheme="majorHAnsi" w:cstheme="majorHAnsi"/>
        </w:rPr>
        <w:t xml:space="preserve">It is </w:t>
      </w:r>
      <w:r w:rsidR="00CF470B">
        <w:rPr>
          <w:rFonts w:asciiTheme="majorHAnsi" w:hAnsiTheme="majorHAnsi" w:cstheme="majorHAnsi"/>
        </w:rPr>
        <w:t xml:space="preserve">also </w:t>
      </w:r>
      <w:r w:rsidR="00CF470B" w:rsidRPr="00925D7A">
        <w:rPr>
          <w:rFonts w:asciiTheme="majorHAnsi" w:hAnsiTheme="majorHAnsi" w:cstheme="majorHAnsi"/>
        </w:rPr>
        <w:t>to</w:t>
      </w:r>
      <w:r w:rsidR="00CF470B">
        <w:rPr>
          <w:rFonts w:asciiTheme="majorHAnsi" w:hAnsiTheme="majorHAnsi" w:cstheme="majorHAnsi"/>
        </w:rPr>
        <w:t xml:space="preserve"> </w:t>
      </w:r>
      <w:r w:rsidR="00CF470B" w:rsidRPr="00925D7A">
        <w:rPr>
          <w:rFonts w:asciiTheme="majorHAnsi" w:hAnsiTheme="majorHAnsi" w:cstheme="majorHAnsi"/>
        </w:rPr>
        <w:t>be hoped that the Central Bank will be proactive in holding the servicers to account if they continue</w:t>
      </w:r>
      <w:r w:rsidR="00CF470B">
        <w:rPr>
          <w:rFonts w:asciiTheme="majorHAnsi" w:hAnsiTheme="majorHAnsi" w:cstheme="majorHAnsi"/>
        </w:rPr>
        <w:t xml:space="preserve"> </w:t>
      </w:r>
      <w:r w:rsidR="00CF470B" w:rsidRPr="00925D7A">
        <w:rPr>
          <w:rFonts w:asciiTheme="majorHAnsi" w:hAnsiTheme="majorHAnsi" w:cstheme="majorHAnsi"/>
        </w:rPr>
        <w:t>to assert legal ownership. The securiti</w:t>
      </w:r>
      <w:r w:rsidR="00CF470B">
        <w:rPr>
          <w:rFonts w:asciiTheme="majorHAnsi" w:hAnsiTheme="majorHAnsi" w:cstheme="majorHAnsi"/>
        </w:rPr>
        <w:t>s</w:t>
      </w:r>
      <w:r w:rsidR="00CF470B" w:rsidRPr="00925D7A">
        <w:rPr>
          <w:rFonts w:asciiTheme="majorHAnsi" w:hAnsiTheme="majorHAnsi" w:cstheme="majorHAnsi"/>
        </w:rPr>
        <w:t>ation paperwork says otherwise.</w:t>
      </w:r>
      <w:r w:rsidR="00CF470B">
        <w:rPr>
          <w:rFonts w:asciiTheme="majorHAnsi" w:hAnsiTheme="majorHAnsi" w:cstheme="majorHAnsi"/>
        </w:rPr>
        <w:t xml:space="preserve"> </w:t>
      </w:r>
    </w:p>
    <w:p w14:paraId="565E78CC" w14:textId="77777777" w:rsidR="00CF470B" w:rsidRDefault="00CF470B" w:rsidP="00CF470B">
      <w:pPr>
        <w:spacing w:after="40"/>
        <w:jc w:val="left"/>
        <w:rPr>
          <w:rFonts w:asciiTheme="majorHAnsi" w:hAnsiTheme="majorHAnsi" w:cstheme="majorHAnsi"/>
        </w:rPr>
      </w:pPr>
    </w:p>
    <w:p w14:paraId="014D00F5" w14:textId="77777777" w:rsidR="00CF470B" w:rsidRDefault="00CF470B" w:rsidP="00CF470B">
      <w:pPr>
        <w:spacing w:after="40" w:line="240" w:lineRule="auto"/>
        <w:jc w:val="left"/>
        <w:rPr>
          <w:rFonts w:asciiTheme="majorHAnsi" w:hAnsiTheme="majorHAnsi" w:cstheme="majorHAnsi"/>
        </w:rPr>
      </w:pPr>
      <w:r w:rsidRPr="00925D7A">
        <w:rPr>
          <w:rFonts w:asciiTheme="majorHAnsi" w:hAnsiTheme="majorHAnsi" w:cstheme="majorHAnsi"/>
        </w:rPr>
        <w:t xml:space="preserve">The plain-to-see risk here is that, absent a </w:t>
      </w:r>
      <w:r>
        <w:rPr>
          <w:rFonts w:asciiTheme="majorHAnsi" w:hAnsiTheme="majorHAnsi" w:cstheme="majorHAnsi"/>
        </w:rPr>
        <w:t xml:space="preserve">proactive </w:t>
      </w:r>
      <w:r w:rsidRPr="00BE4D5F">
        <w:rPr>
          <w:rFonts w:asciiTheme="majorHAnsi" w:hAnsiTheme="majorHAnsi" w:cstheme="majorHAnsi"/>
          <w:i/>
          <w:iCs/>
        </w:rPr>
        <w:t>“</w:t>
      </w:r>
      <w:proofErr w:type="spellStart"/>
      <w:r w:rsidRPr="00BE4D5F">
        <w:rPr>
          <w:rFonts w:asciiTheme="majorHAnsi" w:hAnsiTheme="majorHAnsi" w:cstheme="majorHAnsi"/>
          <w:i/>
          <w:iCs/>
        </w:rPr>
        <w:t>legitimus</w:t>
      </w:r>
      <w:proofErr w:type="spellEnd"/>
      <w:r w:rsidRPr="00BE4D5F">
        <w:rPr>
          <w:rFonts w:asciiTheme="majorHAnsi" w:hAnsiTheme="majorHAnsi" w:cstheme="majorHAnsi"/>
          <w:i/>
          <w:iCs/>
        </w:rPr>
        <w:t xml:space="preserve"> contradictor</w:t>
      </w:r>
      <w:r>
        <w:rPr>
          <w:rFonts w:asciiTheme="majorHAnsi" w:hAnsiTheme="majorHAnsi" w:cstheme="majorHAnsi"/>
          <w:i/>
          <w:iCs/>
        </w:rPr>
        <w:t>,</w:t>
      </w:r>
      <w:r>
        <w:rPr>
          <w:rFonts w:asciiTheme="majorHAnsi" w:hAnsiTheme="majorHAnsi" w:cstheme="majorHAnsi"/>
        </w:rPr>
        <w:t xml:space="preserve">” </w:t>
      </w:r>
      <w:r w:rsidRPr="00925D7A">
        <w:rPr>
          <w:rFonts w:asciiTheme="majorHAnsi" w:hAnsiTheme="majorHAnsi" w:cstheme="majorHAnsi"/>
        </w:rPr>
        <w:t>the Central Bank will think that</w:t>
      </w:r>
      <w:r>
        <w:rPr>
          <w:rFonts w:asciiTheme="majorHAnsi" w:hAnsiTheme="majorHAnsi" w:cstheme="majorHAnsi"/>
        </w:rPr>
        <w:t xml:space="preserve"> </w:t>
      </w:r>
      <w:r w:rsidRPr="00925D7A">
        <w:rPr>
          <w:rFonts w:asciiTheme="majorHAnsi" w:hAnsiTheme="majorHAnsi" w:cstheme="majorHAnsi"/>
        </w:rPr>
        <w:t xml:space="preserve">the court is across this, while the court will assume it’s a regulator’s job for the Bank, </w:t>
      </w:r>
      <w:r>
        <w:rPr>
          <w:rFonts w:asciiTheme="majorHAnsi" w:hAnsiTheme="majorHAnsi" w:cstheme="majorHAnsi"/>
        </w:rPr>
        <w:t>in due course. Sometime.</w:t>
      </w:r>
    </w:p>
    <w:p w14:paraId="022A5820" w14:textId="77777777" w:rsidR="00CF470B" w:rsidRDefault="00CF470B" w:rsidP="00CF470B">
      <w:pPr>
        <w:spacing w:after="40" w:line="240" w:lineRule="auto"/>
        <w:jc w:val="left"/>
        <w:rPr>
          <w:rFonts w:asciiTheme="majorHAnsi" w:hAnsiTheme="majorHAnsi" w:cstheme="majorHAnsi"/>
        </w:rPr>
      </w:pPr>
    </w:p>
    <w:p w14:paraId="2D83820B" w14:textId="77777777" w:rsidR="00CF470B" w:rsidRDefault="00CF470B" w:rsidP="00CF470B">
      <w:pPr>
        <w:spacing w:after="40" w:line="240" w:lineRule="auto"/>
        <w:jc w:val="left"/>
        <w:rPr>
          <w:rFonts w:asciiTheme="majorHAnsi" w:hAnsiTheme="majorHAnsi" w:cstheme="majorHAnsi"/>
        </w:rPr>
      </w:pPr>
      <w:r w:rsidRPr="00925D7A">
        <w:rPr>
          <w:rFonts w:asciiTheme="majorHAnsi" w:hAnsiTheme="majorHAnsi" w:cstheme="majorHAnsi"/>
        </w:rPr>
        <w:t xml:space="preserve">Central Bank published </w:t>
      </w:r>
      <w:r>
        <w:rPr>
          <w:rFonts w:asciiTheme="majorHAnsi" w:hAnsiTheme="majorHAnsi" w:cstheme="majorHAnsi"/>
        </w:rPr>
        <w:t xml:space="preserve">(in 2019) </w:t>
      </w:r>
      <w:r w:rsidRPr="00925D7A">
        <w:rPr>
          <w:rFonts w:asciiTheme="majorHAnsi" w:hAnsiTheme="majorHAnsi" w:cstheme="majorHAnsi"/>
        </w:rPr>
        <w:t>analysis of the use of derivatives by securitisation special</w:t>
      </w:r>
      <w:r>
        <w:rPr>
          <w:rFonts w:asciiTheme="majorHAnsi" w:hAnsiTheme="majorHAnsi" w:cstheme="majorHAnsi"/>
        </w:rPr>
        <w:t>-</w:t>
      </w:r>
      <w:r w:rsidRPr="00925D7A">
        <w:rPr>
          <w:rFonts w:asciiTheme="majorHAnsi" w:hAnsiTheme="majorHAnsi" w:cstheme="majorHAnsi"/>
        </w:rPr>
        <w:t>purpose</w:t>
      </w:r>
      <w:r>
        <w:rPr>
          <w:rFonts w:asciiTheme="majorHAnsi" w:hAnsiTheme="majorHAnsi" w:cstheme="majorHAnsi"/>
        </w:rPr>
        <w:t>-</w:t>
      </w:r>
      <w:r w:rsidRPr="00925D7A">
        <w:rPr>
          <w:rFonts w:asciiTheme="majorHAnsi" w:hAnsiTheme="majorHAnsi" w:cstheme="majorHAnsi"/>
        </w:rPr>
        <w:t xml:space="preserve">vehicles showed that over forty percent of assets of SPV’s domiciled in Ireland are of SPV sponsored by banks, but </w:t>
      </w:r>
      <w:r w:rsidRPr="00925D7A">
        <w:rPr>
          <w:rFonts w:asciiTheme="majorHAnsi" w:hAnsiTheme="majorHAnsi" w:cstheme="majorHAnsi"/>
          <w:i/>
          <w:iCs/>
        </w:rPr>
        <w:t>“both derivative user an</w:t>
      </w:r>
      <w:r>
        <w:rPr>
          <w:rFonts w:asciiTheme="majorHAnsi" w:hAnsiTheme="majorHAnsi" w:cstheme="majorHAnsi"/>
          <w:i/>
          <w:iCs/>
        </w:rPr>
        <w:t>d</w:t>
      </w:r>
      <w:r w:rsidRPr="00925D7A">
        <w:rPr>
          <w:rFonts w:asciiTheme="majorHAnsi" w:hAnsiTheme="majorHAnsi" w:cstheme="majorHAnsi"/>
          <w:i/>
          <w:iCs/>
        </w:rPr>
        <w:t xml:space="preserve"> </w:t>
      </w:r>
      <w:proofErr w:type="spellStart"/>
      <w:r w:rsidRPr="00925D7A">
        <w:rPr>
          <w:rFonts w:asciiTheme="majorHAnsi" w:hAnsiTheme="majorHAnsi" w:cstheme="majorHAnsi"/>
          <w:i/>
          <w:iCs/>
        </w:rPr>
        <w:t>non user</w:t>
      </w:r>
      <w:proofErr w:type="spellEnd"/>
      <w:r w:rsidRPr="00925D7A">
        <w:rPr>
          <w:rFonts w:asciiTheme="majorHAnsi" w:hAnsiTheme="majorHAnsi" w:cstheme="majorHAnsi"/>
          <w:i/>
          <w:iCs/>
        </w:rPr>
        <w:t xml:space="preserve"> vehicles a</w:t>
      </w:r>
      <w:r>
        <w:rPr>
          <w:rFonts w:asciiTheme="majorHAnsi" w:hAnsiTheme="majorHAnsi" w:cstheme="majorHAnsi"/>
          <w:i/>
          <w:iCs/>
        </w:rPr>
        <w:t>re</w:t>
      </w:r>
      <w:r w:rsidRPr="00925D7A">
        <w:rPr>
          <w:rFonts w:asciiTheme="majorHAnsi" w:hAnsiTheme="majorHAnsi" w:cstheme="majorHAnsi"/>
          <w:i/>
          <w:iCs/>
        </w:rPr>
        <w:t xml:space="preserve"> predominantly orphan entities (set up by charitable trust)</w:t>
      </w:r>
      <w:r>
        <w:rPr>
          <w:rFonts w:asciiTheme="majorHAnsi" w:hAnsiTheme="majorHAnsi" w:cstheme="majorHAnsi"/>
          <w:i/>
          <w:iCs/>
        </w:rPr>
        <w:t>,</w:t>
      </w:r>
      <w:r w:rsidRPr="00925D7A">
        <w:rPr>
          <w:rFonts w:asciiTheme="majorHAnsi" w:hAnsiTheme="majorHAnsi" w:cstheme="majorHAnsi"/>
          <w:i/>
          <w:iCs/>
        </w:rPr>
        <w:t xml:space="preserve">” </w:t>
      </w:r>
      <w:r w:rsidRPr="00925D7A">
        <w:rPr>
          <w:rFonts w:asciiTheme="majorHAnsi" w:hAnsiTheme="majorHAnsi" w:cstheme="majorHAnsi"/>
        </w:rPr>
        <w:t>and that “</w:t>
      </w:r>
      <w:r w:rsidRPr="00925D7A">
        <w:rPr>
          <w:rFonts w:asciiTheme="majorHAnsi" w:hAnsiTheme="majorHAnsi" w:cstheme="majorHAnsi"/>
          <w:i/>
          <w:iCs/>
        </w:rPr>
        <w:t>consequently, there is no direct liability of the</w:t>
      </w:r>
      <w:r w:rsidRPr="00925D7A">
        <w:rPr>
          <w:rFonts w:asciiTheme="majorHAnsi" w:hAnsiTheme="majorHAnsi" w:cstheme="majorHAnsi"/>
        </w:rPr>
        <w:t xml:space="preserve"> sponsor</w:t>
      </w:r>
      <w:r>
        <w:rPr>
          <w:rFonts w:asciiTheme="majorHAnsi" w:hAnsiTheme="majorHAnsi" w:cstheme="majorHAnsi"/>
        </w:rPr>
        <w:t>.</w:t>
      </w:r>
      <w:r w:rsidRPr="00925D7A">
        <w:rPr>
          <w:rFonts w:asciiTheme="majorHAnsi" w:hAnsiTheme="majorHAnsi" w:cstheme="majorHAnsi"/>
        </w:rPr>
        <w:t>” But the report concluded that “</w:t>
      </w:r>
      <w:r w:rsidRPr="00925D7A">
        <w:rPr>
          <w:rFonts w:asciiTheme="majorHAnsi" w:hAnsiTheme="majorHAnsi" w:cstheme="majorHAnsi"/>
          <w:i/>
          <w:iCs/>
        </w:rPr>
        <w:t>the nexus of reliance on debt finance, strong interconnectedness with the banking system</w:t>
      </w:r>
      <w:r>
        <w:rPr>
          <w:rFonts w:asciiTheme="majorHAnsi" w:hAnsiTheme="majorHAnsi" w:cstheme="majorHAnsi"/>
          <w:i/>
          <w:iCs/>
        </w:rPr>
        <w:t>,</w:t>
      </w:r>
      <w:r w:rsidRPr="00925D7A">
        <w:rPr>
          <w:rFonts w:asciiTheme="majorHAnsi" w:hAnsiTheme="majorHAnsi" w:cstheme="majorHAnsi"/>
          <w:i/>
          <w:iCs/>
        </w:rPr>
        <w:t xml:space="preserve"> reinforces the importance of close monitoring and macroprudential surveillance of SPV’s</w:t>
      </w:r>
      <w:r>
        <w:rPr>
          <w:rFonts w:asciiTheme="majorHAnsi" w:hAnsiTheme="majorHAnsi" w:cstheme="majorHAnsi"/>
          <w:i/>
          <w:iCs/>
        </w:rPr>
        <w:t>.</w:t>
      </w:r>
      <w:r w:rsidRPr="00925D7A">
        <w:rPr>
          <w:rFonts w:asciiTheme="majorHAnsi" w:hAnsiTheme="majorHAnsi" w:cstheme="majorHAnsi"/>
        </w:rPr>
        <w:t>”</w:t>
      </w:r>
    </w:p>
    <w:p w14:paraId="69B2BC75" w14:textId="77777777" w:rsidR="00D61DB0" w:rsidRDefault="00D61DB0" w:rsidP="00D61DB0">
      <w:pPr>
        <w:spacing w:after="40" w:line="240" w:lineRule="auto"/>
        <w:jc w:val="left"/>
        <w:rPr>
          <w:rFonts w:asciiTheme="majorHAnsi" w:hAnsiTheme="majorHAnsi" w:cstheme="majorHAnsi"/>
        </w:rPr>
      </w:pPr>
    </w:p>
    <w:p w14:paraId="58E8550B" w14:textId="617B8B3B" w:rsidR="00CF470B" w:rsidRDefault="00F34FA7" w:rsidP="00CF470B">
      <w:pPr>
        <w:spacing w:after="40" w:line="240" w:lineRule="auto"/>
        <w:jc w:val="left"/>
        <w:rPr>
          <w:rFonts w:asciiTheme="majorHAnsi" w:hAnsiTheme="majorHAnsi" w:cstheme="majorHAnsi"/>
        </w:rPr>
      </w:pPr>
      <w:r w:rsidRPr="00925D7A">
        <w:rPr>
          <w:rFonts w:asciiTheme="majorHAnsi" w:hAnsiTheme="majorHAnsi" w:cstheme="majorHAnsi"/>
        </w:rPr>
        <w:t>The bank’s macroprudential concern is, as always, contagion spreading from SPV “</w:t>
      </w:r>
      <w:r w:rsidRPr="00925D7A">
        <w:rPr>
          <w:rFonts w:asciiTheme="majorHAnsi" w:hAnsiTheme="majorHAnsi" w:cstheme="majorHAnsi"/>
          <w:i/>
          <w:iCs/>
        </w:rPr>
        <w:t>credit purchasers</w:t>
      </w:r>
      <w:r w:rsidRPr="00925D7A">
        <w:rPr>
          <w:rFonts w:asciiTheme="majorHAnsi" w:hAnsiTheme="majorHAnsi" w:cstheme="majorHAnsi"/>
        </w:rPr>
        <w:t>” to the general retail banking system. The retail banks have exposure to counterparty risk where the credit purchasers’ funding has been leveraged with retail bank lending.</w:t>
      </w:r>
    </w:p>
    <w:p w14:paraId="2DA998C6" w14:textId="299BCBDB" w:rsidR="00F34FA7" w:rsidRPr="00925D7A" w:rsidRDefault="00F34FA7" w:rsidP="00CF470B">
      <w:pPr>
        <w:spacing w:after="40" w:line="240" w:lineRule="auto"/>
        <w:jc w:val="left"/>
        <w:rPr>
          <w:rFonts w:asciiTheme="majorHAnsi" w:hAnsiTheme="majorHAnsi" w:cstheme="majorHAnsi"/>
        </w:rPr>
      </w:pPr>
      <w:r w:rsidRPr="00925D7A">
        <w:rPr>
          <w:rFonts w:asciiTheme="majorHAnsi" w:hAnsiTheme="majorHAnsi" w:cstheme="majorHAnsi"/>
        </w:rPr>
        <w:lastRenderedPageBreak/>
        <w:t>But under the new Directive the Central Bank n</w:t>
      </w:r>
      <w:r>
        <w:rPr>
          <w:rFonts w:asciiTheme="majorHAnsi" w:hAnsiTheme="majorHAnsi" w:cstheme="majorHAnsi"/>
        </w:rPr>
        <w:t>o</w:t>
      </w:r>
      <w:r w:rsidRPr="00925D7A">
        <w:rPr>
          <w:rFonts w:asciiTheme="majorHAnsi" w:hAnsiTheme="majorHAnsi" w:cstheme="majorHAnsi"/>
        </w:rPr>
        <w:t xml:space="preserve">w has a more </w:t>
      </w:r>
      <w:proofErr w:type="gramStart"/>
      <w:r w:rsidRPr="00925D7A">
        <w:rPr>
          <w:rFonts w:asciiTheme="majorHAnsi" w:hAnsiTheme="majorHAnsi" w:cstheme="majorHAnsi"/>
        </w:rPr>
        <w:t>hands on</w:t>
      </w:r>
      <w:proofErr w:type="gramEnd"/>
      <w:r w:rsidRPr="00925D7A">
        <w:rPr>
          <w:rFonts w:asciiTheme="majorHAnsi" w:hAnsiTheme="majorHAnsi" w:cstheme="majorHAnsi"/>
        </w:rPr>
        <w:t xml:space="preserve"> role in protecting mortgage consumers. Systemic and/or institutional malpractice by credit servicers must be sanctioned even where prudential concerns are triggered. The bank is on both sides of the trade.</w:t>
      </w:r>
    </w:p>
    <w:p w14:paraId="37F307F1" w14:textId="6E4E2FCC" w:rsidR="00CA0C83" w:rsidRDefault="00F20D74" w:rsidP="00AF6BF5">
      <w:pPr>
        <w:spacing w:line="240" w:lineRule="auto"/>
        <w:jc w:val="left"/>
        <w:rPr>
          <w:rFonts w:asciiTheme="majorHAnsi" w:hAnsiTheme="majorHAnsi" w:cstheme="majorHAnsi"/>
        </w:rPr>
      </w:pPr>
      <w:r>
        <w:rPr>
          <w:rFonts w:asciiTheme="majorHAnsi" w:hAnsiTheme="majorHAnsi" w:cstheme="majorHAnsi"/>
        </w:rPr>
        <w:t>(Also, t</w:t>
      </w:r>
      <w:r w:rsidR="00F34FA7" w:rsidRPr="00925D7A">
        <w:rPr>
          <w:rFonts w:asciiTheme="majorHAnsi" w:hAnsiTheme="majorHAnsi" w:cstheme="majorHAnsi"/>
        </w:rPr>
        <w:t>he bank may now also find itself regulat</w:t>
      </w:r>
      <w:r w:rsidR="00F34FA7">
        <w:rPr>
          <w:rFonts w:asciiTheme="majorHAnsi" w:hAnsiTheme="majorHAnsi" w:cstheme="majorHAnsi"/>
        </w:rPr>
        <w:t>ing</w:t>
      </w:r>
      <w:r w:rsidR="00F34FA7" w:rsidRPr="00925D7A">
        <w:rPr>
          <w:rFonts w:asciiTheme="majorHAnsi" w:hAnsiTheme="majorHAnsi" w:cstheme="majorHAnsi"/>
        </w:rPr>
        <w:t xml:space="preserve"> servicers which are domiciled here but ply their trade elsewhere using new passporting mechanisms.</w:t>
      </w:r>
      <w:r>
        <w:rPr>
          <w:rFonts w:asciiTheme="majorHAnsi" w:hAnsiTheme="majorHAnsi" w:cstheme="majorHAnsi"/>
        </w:rPr>
        <w:t>)</w:t>
      </w:r>
    </w:p>
    <w:p w14:paraId="31556458" w14:textId="77777777" w:rsidR="00052547" w:rsidRPr="004B4D8B" w:rsidRDefault="00052547" w:rsidP="00AF6BF5">
      <w:pPr>
        <w:spacing w:line="240" w:lineRule="auto"/>
        <w:jc w:val="left"/>
        <w:rPr>
          <w:rFonts w:asciiTheme="majorHAnsi" w:hAnsiTheme="majorHAnsi" w:cstheme="majorHAnsi"/>
          <w:b/>
          <w:bCs/>
          <w:u w:val="single"/>
        </w:rPr>
      </w:pPr>
    </w:p>
    <w:p w14:paraId="045D050A" w14:textId="7FEC8FCB" w:rsidR="00CA0C83" w:rsidRPr="004B4D8B" w:rsidRDefault="00CA0C83" w:rsidP="00AF6BF5">
      <w:pPr>
        <w:spacing w:line="240" w:lineRule="auto"/>
        <w:jc w:val="left"/>
        <w:rPr>
          <w:rFonts w:asciiTheme="majorHAnsi" w:hAnsiTheme="majorHAnsi" w:cstheme="majorHAnsi"/>
          <w:b/>
          <w:bCs/>
          <w:u w:val="single"/>
        </w:rPr>
      </w:pPr>
      <w:r w:rsidRPr="004B4D8B">
        <w:rPr>
          <w:rFonts w:asciiTheme="majorHAnsi" w:hAnsiTheme="majorHAnsi" w:cstheme="majorHAnsi"/>
          <w:b/>
          <w:bCs/>
          <w:u w:val="single"/>
        </w:rPr>
        <w:t>The Ombudsman</w:t>
      </w:r>
    </w:p>
    <w:p w14:paraId="21246B8E" w14:textId="577D71E1" w:rsidR="003A0B72" w:rsidRDefault="00CA0C83" w:rsidP="00AF6BF5">
      <w:pPr>
        <w:spacing w:line="240" w:lineRule="auto"/>
        <w:jc w:val="left"/>
        <w:rPr>
          <w:rFonts w:asciiTheme="majorHAnsi" w:hAnsiTheme="majorHAnsi" w:cstheme="majorHAnsi"/>
        </w:rPr>
      </w:pPr>
      <w:r w:rsidRPr="00925D7A">
        <w:rPr>
          <w:rFonts w:asciiTheme="majorHAnsi" w:hAnsiTheme="majorHAnsi" w:cstheme="majorHAnsi"/>
        </w:rPr>
        <w:t>It may be helpful to clarify that the Oireachtas is the forum to which all Statutory Regulat</w:t>
      </w:r>
      <w:r w:rsidR="003A0B72">
        <w:rPr>
          <w:rFonts w:asciiTheme="majorHAnsi" w:hAnsiTheme="majorHAnsi" w:cstheme="majorHAnsi"/>
        </w:rPr>
        <w:t>ors</w:t>
      </w:r>
      <w:r w:rsidRPr="00925D7A">
        <w:rPr>
          <w:rFonts w:asciiTheme="majorHAnsi" w:hAnsiTheme="majorHAnsi" w:cstheme="majorHAnsi"/>
        </w:rPr>
        <w:t xml:space="preserve"> must account, and the Ombudsman is the actor to report on maladministration. As a matter of law, the Courts are likely to follow English judg</w:t>
      </w:r>
      <w:r w:rsidR="00F27998">
        <w:rPr>
          <w:rFonts w:asciiTheme="majorHAnsi" w:hAnsiTheme="majorHAnsi" w:cstheme="majorHAnsi"/>
        </w:rPr>
        <w:t>e</w:t>
      </w:r>
      <w:r w:rsidRPr="00925D7A">
        <w:rPr>
          <w:rFonts w:asciiTheme="majorHAnsi" w:hAnsiTheme="majorHAnsi" w:cstheme="majorHAnsi"/>
        </w:rPr>
        <w:t xml:space="preserve">ments which re-direct maladministration claims, declining particularly where the regulator has a liability shield in its statute. </w:t>
      </w:r>
    </w:p>
    <w:p w14:paraId="5CC257A8" w14:textId="136AD72F" w:rsidR="00CA0C83" w:rsidRDefault="00CA0C83" w:rsidP="00AF6BF5">
      <w:pPr>
        <w:spacing w:line="240" w:lineRule="auto"/>
        <w:jc w:val="left"/>
        <w:rPr>
          <w:rFonts w:asciiTheme="majorHAnsi" w:hAnsiTheme="majorHAnsi" w:cstheme="majorHAnsi"/>
        </w:rPr>
      </w:pPr>
      <w:r w:rsidRPr="00925D7A">
        <w:rPr>
          <w:rFonts w:asciiTheme="majorHAnsi" w:hAnsiTheme="majorHAnsi" w:cstheme="majorHAnsi"/>
        </w:rPr>
        <w:t>After the publication of the UK Ombudsman’s report into the collapse of Equitable Life (entitled “</w:t>
      </w:r>
      <w:r w:rsidRPr="007D7E21">
        <w:rPr>
          <w:rFonts w:asciiTheme="majorHAnsi" w:hAnsiTheme="majorHAnsi" w:cstheme="majorHAnsi"/>
          <w:i/>
          <w:iCs/>
        </w:rPr>
        <w:t xml:space="preserve">A </w:t>
      </w:r>
      <w:r w:rsidR="007D7E21" w:rsidRPr="007D7E21">
        <w:rPr>
          <w:rFonts w:asciiTheme="majorHAnsi" w:hAnsiTheme="majorHAnsi" w:cstheme="majorHAnsi"/>
          <w:i/>
          <w:iCs/>
        </w:rPr>
        <w:t>D</w:t>
      </w:r>
      <w:r w:rsidRPr="007D7E21">
        <w:rPr>
          <w:rFonts w:asciiTheme="majorHAnsi" w:hAnsiTheme="majorHAnsi" w:cstheme="majorHAnsi"/>
          <w:i/>
          <w:iCs/>
        </w:rPr>
        <w:t xml:space="preserve">ecade of </w:t>
      </w:r>
      <w:r w:rsidR="007D7E21" w:rsidRPr="007D7E21">
        <w:rPr>
          <w:rFonts w:asciiTheme="majorHAnsi" w:hAnsiTheme="majorHAnsi" w:cstheme="majorHAnsi"/>
          <w:i/>
          <w:iCs/>
        </w:rPr>
        <w:t>R</w:t>
      </w:r>
      <w:r w:rsidRPr="007D7E21">
        <w:rPr>
          <w:rFonts w:asciiTheme="majorHAnsi" w:hAnsiTheme="majorHAnsi" w:cstheme="majorHAnsi"/>
          <w:i/>
          <w:iCs/>
        </w:rPr>
        <w:t xml:space="preserve">egulatory </w:t>
      </w:r>
      <w:r w:rsidR="007D7E21" w:rsidRPr="007D7E21">
        <w:rPr>
          <w:rFonts w:asciiTheme="majorHAnsi" w:hAnsiTheme="majorHAnsi" w:cstheme="majorHAnsi"/>
          <w:i/>
          <w:iCs/>
        </w:rPr>
        <w:t>F</w:t>
      </w:r>
      <w:r w:rsidRPr="007D7E21">
        <w:rPr>
          <w:rFonts w:asciiTheme="majorHAnsi" w:hAnsiTheme="majorHAnsi" w:cstheme="majorHAnsi"/>
          <w:i/>
          <w:iCs/>
        </w:rPr>
        <w:t>ailure</w:t>
      </w:r>
      <w:r w:rsidRPr="00925D7A">
        <w:rPr>
          <w:rFonts w:asciiTheme="majorHAnsi" w:hAnsiTheme="majorHAnsi" w:cstheme="majorHAnsi"/>
        </w:rPr>
        <w:t>”) blaming financial services regulator FCA, the Court declined to overturn the Government’s refusal to follow through on the Ombudsman’s recommendations</w:t>
      </w:r>
      <w:r w:rsidR="00F20D74">
        <w:rPr>
          <w:rFonts w:asciiTheme="majorHAnsi" w:hAnsiTheme="majorHAnsi" w:cstheme="majorHAnsi"/>
        </w:rPr>
        <w:t>,</w:t>
      </w:r>
      <w:r w:rsidRPr="00925D7A">
        <w:rPr>
          <w:rFonts w:asciiTheme="majorHAnsi" w:hAnsiTheme="majorHAnsi" w:cstheme="majorHAnsi"/>
        </w:rPr>
        <w:t xml:space="preserve"> quoting this rationale</w:t>
      </w:r>
      <w:r w:rsidR="003A0B72">
        <w:rPr>
          <w:rFonts w:asciiTheme="majorHAnsi" w:hAnsiTheme="majorHAnsi" w:cstheme="majorHAnsi"/>
        </w:rPr>
        <w:t xml:space="preserve">: </w:t>
      </w:r>
      <w:r w:rsidRPr="003A0B72">
        <w:rPr>
          <w:rFonts w:asciiTheme="majorHAnsi" w:hAnsiTheme="majorHAnsi" w:cstheme="majorHAnsi"/>
          <w:i/>
          <w:iCs/>
        </w:rPr>
        <w:t xml:space="preserve">“The role of the </w:t>
      </w:r>
      <w:r w:rsidR="00F27998">
        <w:rPr>
          <w:rFonts w:asciiTheme="majorHAnsi" w:hAnsiTheme="majorHAnsi" w:cstheme="majorHAnsi"/>
          <w:i/>
          <w:iCs/>
        </w:rPr>
        <w:t>O</w:t>
      </w:r>
      <w:r w:rsidRPr="003A0B72">
        <w:rPr>
          <w:rFonts w:asciiTheme="majorHAnsi" w:hAnsiTheme="majorHAnsi" w:cstheme="majorHAnsi"/>
          <w:i/>
          <w:iCs/>
        </w:rPr>
        <w:t xml:space="preserve">mbudsman under the 1967 Act is not only to report to Parliament, but, where appropriate, vigorously to alert Parliament to an injustice which has occurred through maladministration.” </w:t>
      </w:r>
      <w:r w:rsidRPr="00925D7A">
        <w:rPr>
          <w:rFonts w:asciiTheme="majorHAnsi" w:hAnsiTheme="majorHAnsi" w:cstheme="majorHAnsi"/>
        </w:rPr>
        <w:t xml:space="preserve">(Ultimately the UK government made </w:t>
      </w:r>
      <w:r w:rsidRPr="00BF53BF">
        <w:rPr>
          <w:rFonts w:asciiTheme="majorHAnsi" w:hAnsiTheme="majorHAnsi" w:cstheme="majorHAnsi"/>
          <w:i/>
          <w:iCs/>
        </w:rPr>
        <w:t>ex gratia</w:t>
      </w:r>
      <w:r w:rsidRPr="00925D7A">
        <w:rPr>
          <w:rFonts w:asciiTheme="majorHAnsi" w:hAnsiTheme="majorHAnsi" w:cstheme="majorHAnsi"/>
        </w:rPr>
        <w:t xml:space="preserve"> payments to pensioners whose savings had been lost.)</w:t>
      </w:r>
      <w:r w:rsidR="00F27998">
        <w:rPr>
          <w:rFonts w:asciiTheme="majorHAnsi" w:hAnsiTheme="majorHAnsi" w:cstheme="majorHAnsi"/>
        </w:rPr>
        <w:t>.</w:t>
      </w:r>
    </w:p>
    <w:p w14:paraId="5B2FFCF5" w14:textId="77777777" w:rsidR="00F34FA7" w:rsidRDefault="00F34FA7" w:rsidP="00AF6BF5">
      <w:pPr>
        <w:spacing w:after="40" w:line="240" w:lineRule="auto"/>
        <w:jc w:val="left"/>
        <w:rPr>
          <w:rFonts w:asciiTheme="majorHAnsi" w:hAnsiTheme="majorHAnsi" w:cstheme="majorHAnsi"/>
        </w:rPr>
      </w:pPr>
    </w:p>
    <w:p w14:paraId="63BCDFD1" w14:textId="77E656AE" w:rsidR="00F34FA7" w:rsidRDefault="00D80E91" w:rsidP="00AF6BF5">
      <w:pPr>
        <w:spacing w:after="40" w:line="240" w:lineRule="auto"/>
        <w:jc w:val="left"/>
        <w:rPr>
          <w:rFonts w:asciiTheme="majorHAnsi" w:hAnsiTheme="majorHAnsi" w:cstheme="majorHAnsi"/>
        </w:rPr>
      </w:pPr>
      <w:r>
        <w:rPr>
          <w:rFonts w:asciiTheme="majorHAnsi" w:hAnsiTheme="majorHAnsi" w:cstheme="majorHAnsi"/>
        </w:rPr>
        <w:t xml:space="preserve">                                                                                             </w:t>
      </w:r>
      <w:r w:rsidR="00F34FA7">
        <w:rPr>
          <w:rFonts w:asciiTheme="majorHAnsi" w:hAnsiTheme="majorHAnsi" w:cstheme="majorHAnsi"/>
        </w:rPr>
        <w:t>¬¬¬¬¬¬¬¬¬¬¬¬¬¬¬¬¬¬¬¬¬¬¬¬¬¬¬¬¬¬¬¬¬¬¬¬¬¬¬¬</w:t>
      </w:r>
    </w:p>
    <w:p w14:paraId="150E4074" w14:textId="7BF59D25" w:rsidR="00F34FA7" w:rsidRPr="00CA0C83" w:rsidRDefault="00CA0C83" w:rsidP="00AF6BF5">
      <w:pPr>
        <w:spacing w:after="40" w:line="240" w:lineRule="auto"/>
        <w:jc w:val="left"/>
        <w:rPr>
          <w:rFonts w:asciiTheme="majorHAnsi" w:hAnsiTheme="majorHAnsi" w:cstheme="majorHAnsi"/>
        </w:rPr>
      </w:pPr>
      <w:r>
        <w:rPr>
          <w:rFonts w:asciiTheme="majorHAnsi" w:hAnsiTheme="majorHAnsi" w:cstheme="majorHAnsi"/>
          <w:b/>
          <w:bCs/>
        </w:rPr>
        <w:t xml:space="preserve">                                                                                                                  </w:t>
      </w:r>
      <w:r w:rsidRPr="00CA0C83">
        <w:rPr>
          <w:rFonts w:asciiTheme="majorHAnsi" w:hAnsiTheme="majorHAnsi" w:cstheme="majorHAnsi"/>
        </w:rPr>
        <w:t xml:space="preserve"> </w:t>
      </w:r>
      <w:r w:rsidRPr="00F27998">
        <w:rPr>
          <w:rFonts w:asciiTheme="majorHAnsi" w:hAnsiTheme="majorHAnsi" w:cstheme="majorHAnsi"/>
          <w:b/>
          <w:bCs/>
        </w:rPr>
        <w:t xml:space="preserve">  </w:t>
      </w:r>
      <w:r w:rsidR="00F34FA7" w:rsidRPr="00F27998">
        <w:rPr>
          <w:rFonts w:asciiTheme="majorHAnsi" w:hAnsiTheme="majorHAnsi" w:cstheme="majorHAnsi"/>
          <w:b/>
          <w:bCs/>
        </w:rPr>
        <w:t>E</w:t>
      </w:r>
      <w:r w:rsidRPr="00F27998">
        <w:rPr>
          <w:rFonts w:asciiTheme="majorHAnsi" w:hAnsiTheme="majorHAnsi" w:cstheme="majorHAnsi"/>
          <w:b/>
          <w:bCs/>
        </w:rPr>
        <w:t>dmund Honohan</w:t>
      </w:r>
    </w:p>
    <w:p w14:paraId="7332212B" w14:textId="621A2C8E" w:rsidR="00F34FA7" w:rsidRDefault="00CA0C83" w:rsidP="00AF6BF5">
      <w:pPr>
        <w:spacing w:after="40" w:line="240" w:lineRule="auto"/>
        <w:jc w:val="left"/>
        <w:rPr>
          <w:rFonts w:asciiTheme="majorHAnsi" w:hAnsiTheme="majorHAnsi" w:cstheme="majorHAnsi"/>
        </w:rPr>
      </w:pPr>
      <w:r>
        <w:rPr>
          <w:rFonts w:asciiTheme="majorHAnsi" w:hAnsiTheme="majorHAnsi" w:cstheme="majorHAnsi"/>
        </w:rPr>
        <w:t xml:space="preserve">                                                                                                                     The </w:t>
      </w:r>
      <w:r w:rsidR="00F34FA7">
        <w:rPr>
          <w:rFonts w:asciiTheme="majorHAnsi" w:hAnsiTheme="majorHAnsi" w:cstheme="majorHAnsi"/>
        </w:rPr>
        <w:t>Master of the High Court</w:t>
      </w:r>
    </w:p>
    <w:p w14:paraId="3D5D6B5A" w14:textId="77777777" w:rsidR="00BF53BF" w:rsidRDefault="00BF53BF" w:rsidP="00AF6BF5">
      <w:pPr>
        <w:spacing w:after="40" w:line="240" w:lineRule="auto"/>
        <w:jc w:val="left"/>
        <w:rPr>
          <w:rFonts w:asciiTheme="majorHAnsi" w:hAnsiTheme="majorHAnsi" w:cstheme="majorHAnsi"/>
        </w:rPr>
      </w:pPr>
    </w:p>
    <w:p w14:paraId="1D789EE5" w14:textId="5B993E0F" w:rsidR="003D1A81" w:rsidRPr="00925D7A" w:rsidRDefault="00D80E91" w:rsidP="00AF6BF5">
      <w:pPr>
        <w:spacing w:after="40" w:line="240" w:lineRule="auto"/>
        <w:jc w:val="left"/>
        <w:rPr>
          <w:rFonts w:asciiTheme="majorHAnsi" w:hAnsiTheme="majorHAnsi" w:cstheme="majorHAnsi"/>
        </w:rPr>
      </w:pPr>
      <w:r>
        <w:rPr>
          <w:rFonts w:asciiTheme="majorHAnsi" w:hAnsiTheme="majorHAnsi" w:cstheme="majorHAnsi"/>
        </w:rPr>
        <w:t xml:space="preserve">P.S. </w:t>
      </w:r>
      <w:r w:rsidR="00BF53BF">
        <w:rPr>
          <w:rFonts w:asciiTheme="majorHAnsi" w:hAnsiTheme="majorHAnsi" w:cstheme="majorHAnsi"/>
        </w:rPr>
        <w:t xml:space="preserve"> If you get the chance, please try to dissuade your constituents from taking out “reverse mortgages</w:t>
      </w:r>
      <w:r w:rsidR="00F27998">
        <w:rPr>
          <w:rFonts w:asciiTheme="majorHAnsi" w:hAnsiTheme="majorHAnsi" w:cstheme="majorHAnsi"/>
        </w:rPr>
        <w:t>,</w:t>
      </w:r>
      <w:r w:rsidR="00BF53BF">
        <w:rPr>
          <w:rFonts w:asciiTheme="majorHAnsi" w:hAnsiTheme="majorHAnsi" w:cstheme="majorHAnsi"/>
        </w:rPr>
        <w:t>” cashing in some of their equity for some short</w:t>
      </w:r>
      <w:r w:rsidR="00F27998">
        <w:rPr>
          <w:rFonts w:asciiTheme="majorHAnsi" w:hAnsiTheme="majorHAnsi" w:cstheme="majorHAnsi"/>
        </w:rPr>
        <w:t>-</w:t>
      </w:r>
      <w:r w:rsidR="00BF53BF">
        <w:rPr>
          <w:rFonts w:asciiTheme="majorHAnsi" w:hAnsiTheme="majorHAnsi" w:cstheme="majorHAnsi"/>
        </w:rPr>
        <w:t>term retirement bucket list. In my experience, they live to regret it down the line, often leave suspicion and bitterness between offspring and their in-laws, and sometimes costly litigation.</w:t>
      </w:r>
    </w:p>
    <w:sectPr w:rsidR="003D1A81" w:rsidRPr="00925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1528E"/>
    <w:multiLevelType w:val="hybridMultilevel"/>
    <w:tmpl w:val="6C2C6A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60E3B65"/>
    <w:multiLevelType w:val="hybridMultilevel"/>
    <w:tmpl w:val="436E4616"/>
    <w:lvl w:ilvl="0" w:tplc="67F0C7DE">
      <w:start w:val="1"/>
      <w:numFmt w:val="lowerLetter"/>
      <w:lvlText w:val="(%1)"/>
      <w:lvlJc w:val="left"/>
      <w:pPr>
        <w:ind w:left="1080" w:hanging="360"/>
      </w:pPr>
      <w:rPr>
        <w:rFonts w:asciiTheme="majorHAnsi" w:eastAsiaTheme="minorEastAsia" w:hAnsiTheme="majorHAnsi" w:cstheme="majorHAnsi"/>
      </w:rPr>
    </w:lvl>
    <w:lvl w:ilvl="1" w:tplc="1E562B50">
      <w:start w:val="1"/>
      <w:numFmt w:val="lowerRoman"/>
      <w:lvlText w:val="%2."/>
      <w:lvlJc w:val="left"/>
      <w:pPr>
        <w:ind w:left="1494" w:hanging="360"/>
      </w:pPr>
      <w:rPr>
        <w:rFonts w:asciiTheme="majorHAnsi" w:eastAsiaTheme="minorEastAsia" w:hAnsiTheme="majorHAnsi" w:cstheme="majorHAnsi"/>
      </w:rPr>
    </w:lvl>
    <w:lvl w:ilvl="2" w:tplc="F2BA8E2E">
      <w:start w:val="1"/>
      <w:numFmt w:val="lowerRoman"/>
      <w:lvlText w:val="(%3)"/>
      <w:lvlJc w:val="right"/>
      <w:pPr>
        <w:ind w:left="2520" w:hanging="180"/>
      </w:pPr>
      <w:rPr>
        <w:rFonts w:asciiTheme="majorHAnsi" w:eastAsiaTheme="minorEastAsia" w:hAnsiTheme="majorHAnsi" w:cstheme="majorHAnsi"/>
      </w:r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1108622727">
    <w:abstractNumId w:val="0"/>
  </w:num>
  <w:num w:numId="2" w16cid:durableId="1563179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C2"/>
    <w:rsid w:val="000028FD"/>
    <w:rsid w:val="000439DE"/>
    <w:rsid w:val="00052547"/>
    <w:rsid w:val="00065191"/>
    <w:rsid w:val="00087BC0"/>
    <w:rsid w:val="00095D30"/>
    <w:rsid w:val="000966EE"/>
    <w:rsid w:val="000C64E5"/>
    <w:rsid w:val="000E0658"/>
    <w:rsid w:val="000E1777"/>
    <w:rsid w:val="00107ECE"/>
    <w:rsid w:val="001365D3"/>
    <w:rsid w:val="001366A7"/>
    <w:rsid w:val="00151F00"/>
    <w:rsid w:val="001555EB"/>
    <w:rsid w:val="001828DC"/>
    <w:rsid w:val="00186D34"/>
    <w:rsid w:val="00195562"/>
    <w:rsid w:val="00201E62"/>
    <w:rsid w:val="0020234B"/>
    <w:rsid w:val="00224CD9"/>
    <w:rsid w:val="00246A77"/>
    <w:rsid w:val="00267EA7"/>
    <w:rsid w:val="002968A9"/>
    <w:rsid w:val="002B2219"/>
    <w:rsid w:val="002C2ADC"/>
    <w:rsid w:val="002C4F33"/>
    <w:rsid w:val="002E504A"/>
    <w:rsid w:val="002F2392"/>
    <w:rsid w:val="00383542"/>
    <w:rsid w:val="003A0B72"/>
    <w:rsid w:val="003D1A81"/>
    <w:rsid w:val="003D4699"/>
    <w:rsid w:val="004175CF"/>
    <w:rsid w:val="00423066"/>
    <w:rsid w:val="00472D70"/>
    <w:rsid w:val="0048536D"/>
    <w:rsid w:val="004B11AA"/>
    <w:rsid w:val="004B4D8B"/>
    <w:rsid w:val="0052059D"/>
    <w:rsid w:val="005325A5"/>
    <w:rsid w:val="00567E5C"/>
    <w:rsid w:val="005768A2"/>
    <w:rsid w:val="005F6BE7"/>
    <w:rsid w:val="00610776"/>
    <w:rsid w:val="00610DA4"/>
    <w:rsid w:val="0064458F"/>
    <w:rsid w:val="00675F69"/>
    <w:rsid w:val="00692396"/>
    <w:rsid w:val="006A50F2"/>
    <w:rsid w:val="006D006D"/>
    <w:rsid w:val="0075407D"/>
    <w:rsid w:val="0076274A"/>
    <w:rsid w:val="007D1566"/>
    <w:rsid w:val="007D6900"/>
    <w:rsid w:val="007D7E21"/>
    <w:rsid w:val="007F042E"/>
    <w:rsid w:val="008903CC"/>
    <w:rsid w:val="008C0DB6"/>
    <w:rsid w:val="00925D7A"/>
    <w:rsid w:val="00931ED0"/>
    <w:rsid w:val="00960AEA"/>
    <w:rsid w:val="009918EA"/>
    <w:rsid w:val="009B14E0"/>
    <w:rsid w:val="009E0979"/>
    <w:rsid w:val="009E14DD"/>
    <w:rsid w:val="00A021BA"/>
    <w:rsid w:val="00A27A9C"/>
    <w:rsid w:val="00A7644D"/>
    <w:rsid w:val="00AA3DA2"/>
    <w:rsid w:val="00AD2EF5"/>
    <w:rsid w:val="00AF6BF5"/>
    <w:rsid w:val="00AF71D4"/>
    <w:rsid w:val="00B565A1"/>
    <w:rsid w:val="00B571C0"/>
    <w:rsid w:val="00B82A0C"/>
    <w:rsid w:val="00BC5628"/>
    <w:rsid w:val="00BD28BB"/>
    <w:rsid w:val="00BE4D5F"/>
    <w:rsid w:val="00BE658E"/>
    <w:rsid w:val="00BF0F9D"/>
    <w:rsid w:val="00BF53BF"/>
    <w:rsid w:val="00C34621"/>
    <w:rsid w:val="00C73149"/>
    <w:rsid w:val="00C74093"/>
    <w:rsid w:val="00C806BD"/>
    <w:rsid w:val="00C908A0"/>
    <w:rsid w:val="00CA0C83"/>
    <w:rsid w:val="00CC1AED"/>
    <w:rsid w:val="00CD4F9E"/>
    <w:rsid w:val="00CF211D"/>
    <w:rsid w:val="00CF3EB1"/>
    <w:rsid w:val="00CF470B"/>
    <w:rsid w:val="00D15131"/>
    <w:rsid w:val="00D47D8F"/>
    <w:rsid w:val="00D54C2D"/>
    <w:rsid w:val="00D61DB0"/>
    <w:rsid w:val="00D80E91"/>
    <w:rsid w:val="00D81E12"/>
    <w:rsid w:val="00D864C2"/>
    <w:rsid w:val="00D86B14"/>
    <w:rsid w:val="00D93F05"/>
    <w:rsid w:val="00D969F3"/>
    <w:rsid w:val="00DD16DD"/>
    <w:rsid w:val="00DE6999"/>
    <w:rsid w:val="00E05B28"/>
    <w:rsid w:val="00E1185A"/>
    <w:rsid w:val="00E15E2E"/>
    <w:rsid w:val="00E30FD9"/>
    <w:rsid w:val="00E32578"/>
    <w:rsid w:val="00E729C3"/>
    <w:rsid w:val="00E761E3"/>
    <w:rsid w:val="00ED6286"/>
    <w:rsid w:val="00EE2139"/>
    <w:rsid w:val="00F11AE5"/>
    <w:rsid w:val="00F20D74"/>
    <w:rsid w:val="00F27998"/>
    <w:rsid w:val="00F34FA7"/>
    <w:rsid w:val="00F52F7E"/>
    <w:rsid w:val="00F56064"/>
    <w:rsid w:val="00F913FC"/>
    <w:rsid w:val="00FB5CDC"/>
    <w:rsid w:val="00FC22E9"/>
    <w:rsid w:val="00FE2D7E"/>
    <w:rsid w:val="00FE6752"/>
    <w:rsid w:val="00FF1B4C"/>
    <w:rsid w:val="00FF47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6A1C"/>
  <w15:chartTrackingRefBased/>
  <w15:docId w15:val="{EA9F85FE-EABA-494D-8816-E408A149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D5F"/>
  </w:style>
  <w:style w:type="paragraph" w:styleId="Heading1">
    <w:name w:val="heading 1"/>
    <w:basedOn w:val="Normal"/>
    <w:next w:val="Normal"/>
    <w:link w:val="Heading1Char"/>
    <w:uiPriority w:val="9"/>
    <w:qFormat/>
    <w:rsid w:val="00BE4D5F"/>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BE4D5F"/>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BE4D5F"/>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E4D5F"/>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E4D5F"/>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E4D5F"/>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E4D5F"/>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E4D5F"/>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E4D5F"/>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B4C"/>
    <w:pPr>
      <w:ind w:left="720"/>
      <w:contextualSpacing/>
    </w:pPr>
  </w:style>
  <w:style w:type="character" w:customStyle="1" w:styleId="Heading1Char">
    <w:name w:val="Heading 1 Char"/>
    <w:basedOn w:val="DefaultParagraphFont"/>
    <w:link w:val="Heading1"/>
    <w:uiPriority w:val="9"/>
    <w:rsid w:val="00BE4D5F"/>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BE4D5F"/>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BE4D5F"/>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E4D5F"/>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E4D5F"/>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E4D5F"/>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E4D5F"/>
    <w:rPr>
      <w:i/>
      <w:iCs/>
    </w:rPr>
  </w:style>
  <w:style w:type="character" w:customStyle="1" w:styleId="Heading8Char">
    <w:name w:val="Heading 8 Char"/>
    <w:basedOn w:val="DefaultParagraphFont"/>
    <w:link w:val="Heading8"/>
    <w:uiPriority w:val="9"/>
    <w:semiHidden/>
    <w:rsid w:val="00BE4D5F"/>
    <w:rPr>
      <w:b/>
      <w:bCs/>
    </w:rPr>
  </w:style>
  <w:style w:type="character" w:customStyle="1" w:styleId="Heading9Char">
    <w:name w:val="Heading 9 Char"/>
    <w:basedOn w:val="DefaultParagraphFont"/>
    <w:link w:val="Heading9"/>
    <w:uiPriority w:val="9"/>
    <w:semiHidden/>
    <w:rsid w:val="00BE4D5F"/>
    <w:rPr>
      <w:i/>
      <w:iCs/>
    </w:rPr>
  </w:style>
  <w:style w:type="paragraph" w:styleId="Caption">
    <w:name w:val="caption"/>
    <w:basedOn w:val="Normal"/>
    <w:next w:val="Normal"/>
    <w:uiPriority w:val="35"/>
    <w:semiHidden/>
    <w:unhideWhenUsed/>
    <w:qFormat/>
    <w:rsid w:val="00BE4D5F"/>
    <w:rPr>
      <w:b/>
      <w:bCs/>
      <w:sz w:val="18"/>
      <w:szCs w:val="18"/>
    </w:rPr>
  </w:style>
  <w:style w:type="paragraph" w:styleId="Title">
    <w:name w:val="Title"/>
    <w:basedOn w:val="Normal"/>
    <w:next w:val="Normal"/>
    <w:link w:val="TitleChar"/>
    <w:uiPriority w:val="10"/>
    <w:qFormat/>
    <w:rsid w:val="00BE4D5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E4D5F"/>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E4D5F"/>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E4D5F"/>
    <w:rPr>
      <w:rFonts w:asciiTheme="majorHAnsi" w:eastAsiaTheme="majorEastAsia" w:hAnsiTheme="majorHAnsi" w:cstheme="majorBidi"/>
      <w:sz w:val="24"/>
      <w:szCs w:val="24"/>
    </w:rPr>
  </w:style>
  <w:style w:type="character" w:styleId="Strong">
    <w:name w:val="Strong"/>
    <w:basedOn w:val="DefaultParagraphFont"/>
    <w:uiPriority w:val="22"/>
    <w:qFormat/>
    <w:rsid w:val="00BE4D5F"/>
    <w:rPr>
      <w:b/>
      <w:bCs/>
      <w:color w:val="auto"/>
    </w:rPr>
  </w:style>
  <w:style w:type="character" w:styleId="Emphasis">
    <w:name w:val="Emphasis"/>
    <w:basedOn w:val="DefaultParagraphFont"/>
    <w:uiPriority w:val="20"/>
    <w:qFormat/>
    <w:rsid w:val="00BE4D5F"/>
    <w:rPr>
      <w:i/>
      <w:iCs/>
      <w:color w:val="auto"/>
    </w:rPr>
  </w:style>
  <w:style w:type="paragraph" w:styleId="NoSpacing">
    <w:name w:val="No Spacing"/>
    <w:uiPriority w:val="1"/>
    <w:qFormat/>
    <w:rsid w:val="00BE4D5F"/>
    <w:pPr>
      <w:spacing w:after="0" w:line="240" w:lineRule="auto"/>
    </w:pPr>
  </w:style>
  <w:style w:type="paragraph" w:styleId="Quote">
    <w:name w:val="Quote"/>
    <w:basedOn w:val="Normal"/>
    <w:next w:val="Normal"/>
    <w:link w:val="QuoteChar"/>
    <w:uiPriority w:val="29"/>
    <w:qFormat/>
    <w:rsid w:val="00BE4D5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E4D5F"/>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E4D5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E4D5F"/>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E4D5F"/>
    <w:rPr>
      <w:i/>
      <w:iCs/>
      <w:color w:val="auto"/>
    </w:rPr>
  </w:style>
  <w:style w:type="character" w:styleId="IntenseEmphasis">
    <w:name w:val="Intense Emphasis"/>
    <w:basedOn w:val="DefaultParagraphFont"/>
    <w:uiPriority w:val="21"/>
    <w:qFormat/>
    <w:rsid w:val="00BE4D5F"/>
    <w:rPr>
      <w:b/>
      <w:bCs/>
      <w:i/>
      <w:iCs/>
      <w:color w:val="auto"/>
    </w:rPr>
  </w:style>
  <w:style w:type="character" w:styleId="SubtleReference">
    <w:name w:val="Subtle Reference"/>
    <w:basedOn w:val="DefaultParagraphFont"/>
    <w:uiPriority w:val="31"/>
    <w:qFormat/>
    <w:rsid w:val="00BE4D5F"/>
    <w:rPr>
      <w:smallCaps/>
      <w:color w:val="auto"/>
      <w:u w:val="single" w:color="7F7F7F" w:themeColor="text1" w:themeTint="80"/>
    </w:rPr>
  </w:style>
  <w:style w:type="character" w:styleId="IntenseReference">
    <w:name w:val="Intense Reference"/>
    <w:basedOn w:val="DefaultParagraphFont"/>
    <w:uiPriority w:val="32"/>
    <w:qFormat/>
    <w:rsid w:val="00BE4D5F"/>
    <w:rPr>
      <w:b/>
      <w:bCs/>
      <w:smallCaps/>
      <w:color w:val="auto"/>
      <w:u w:val="single"/>
    </w:rPr>
  </w:style>
  <w:style w:type="character" w:styleId="BookTitle">
    <w:name w:val="Book Title"/>
    <w:basedOn w:val="DefaultParagraphFont"/>
    <w:uiPriority w:val="33"/>
    <w:qFormat/>
    <w:rsid w:val="00BE4D5F"/>
    <w:rPr>
      <w:b/>
      <w:bCs/>
      <w:smallCaps/>
      <w:color w:val="auto"/>
    </w:rPr>
  </w:style>
  <w:style w:type="paragraph" w:styleId="TOCHeading">
    <w:name w:val="TOC Heading"/>
    <w:basedOn w:val="Heading1"/>
    <w:next w:val="Normal"/>
    <w:uiPriority w:val="39"/>
    <w:semiHidden/>
    <w:unhideWhenUsed/>
    <w:qFormat/>
    <w:rsid w:val="00BE4D5F"/>
    <w:pPr>
      <w:outlineLvl w:val="9"/>
    </w:pPr>
  </w:style>
  <w:style w:type="character" w:styleId="Hyperlink">
    <w:name w:val="Hyperlink"/>
    <w:basedOn w:val="DefaultParagraphFont"/>
    <w:uiPriority w:val="99"/>
    <w:semiHidden/>
    <w:unhideWhenUsed/>
    <w:rsid w:val="005325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881387">
      <w:bodyDiv w:val="1"/>
      <w:marLeft w:val="0"/>
      <w:marRight w:val="0"/>
      <w:marTop w:val="0"/>
      <w:marBottom w:val="0"/>
      <w:divBdr>
        <w:top w:val="none" w:sz="0" w:space="0" w:color="auto"/>
        <w:left w:val="none" w:sz="0" w:space="0" w:color="auto"/>
        <w:bottom w:val="none" w:sz="0" w:space="0" w:color="auto"/>
        <w:right w:val="none" w:sz="0" w:space="0" w:color="auto"/>
      </w:divBdr>
      <w:divsChild>
        <w:div w:id="997612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288198">
              <w:marLeft w:val="0"/>
              <w:marRight w:val="0"/>
              <w:marTop w:val="0"/>
              <w:marBottom w:val="0"/>
              <w:divBdr>
                <w:top w:val="none" w:sz="0" w:space="0" w:color="auto"/>
                <w:left w:val="none" w:sz="0" w:space="0" w:color="auto"/>
                <w:bottom w:val="none" w:sz="0" w:space="0" w:color="auto"/>
                <w:right w:val="none" w:sz="0" w:space="0" w:color="auto"/>
              </w:divBdr>
              <w:divsChild>
                <w:div w:id="2067337884">
                  <w:marLeft w:val="0"/>
                  <w:marRight w:val="0"/>
                  <w:marTop w:val="0"/>
                  <w:marBottom w:val="0"/>
                  <w:divBdr>
                    <w:top w:val="none" w:sz="0" w:space="0" w:color="auto"/>
                    <w:left w:val="none" w:sz="0" w:space="0" w:color="auto"/>
                    <w:bottom w:val="none" w:sz="0" w:space="0" w:color="auto"/>
                    <w:right w:val="none" w:sz="0" w:space="0" w:color="auto"/>
                  </w:divBdr>
                  <w:divsChild>
                    <w:div w:id="478158879">
                      <w:marLeft w:val="0"/>
                      <w:marRight w:val="0"/>
                      <w:marTop w:val="0"/>
                      <w:marBottom w:val="0"/>
                      <w:divBdr>
                        <w:top w:val="none" w:sz="0" w:space="0" w:color="auto"/>
                        <w:left w:val="none" w:sz="0" w:space="0" w:color="auto"/>
                        <w:bottom w:val="none" w:sz="0" w:space="0" w:color="auto"/>
                        <w:right w:val="none" w:sz="0" w:space="0" w:color="auto"/>
                      </w:divBdr>
                    </w:div>
                    <w:div w:id="1479610249">
                      <w:marLeft w:val="0"/>
                      <w:marRight w:val="0"/>
                      <w:marTop w:val="0"/>
                      <w:marBottom w:val="0"/>
                      <w:divBdr>
                        <w:top w:val="none" w:sz="0" w:space="0" w:color="auto"/>
                        <w:left w:val="none" w:sz="0" w:space="0" w:color="auto"/>
                        <w:bottom w:val="none" w:sz="0" w:space="0" w:color="auto"/>
                        <w:right w:val="none" w:sz="0" w:space="0" w:color="auto"/>
                      </w:divBdr>
                    </w:div>
                  </w:divsChild>
                </w:div>
                <w:div w:id="1598632532">
                  <w:marLeft w:val="0"/>
                  <w:marRight w:val="0"/>
                  <w:marTop w:val="0"/>
                  <w:marBottom w:val="0"/>
                  <w:divBdr>
                    <w:top w:val="none" w:sz="0" w:space="0" w:color="auto"/>
                    <w:left w:val="none" w:sz="0" w:space="0" w:color="auto"/>
                    <w:bottom w:val="none" w:sz="0" w:space="0" w:color="auto"/>
                    <w:right w:val="none" w:sz="0" w:space="0" w:color="auto"/>
                  </w:divBdr>
                  <w:divsChild>
                    <w:div w:id="1671134176">
                      <w:marLeft w:val="0"/>
                      <w:marRight w:val="0"/>
                      <w:marTop w:val="0"/>
                      <w:marBottom w:val="0"/>
                      <w:divBdr>
                        <w:top w:val="none" w:sz="0" w:space="0" w:color="auto"/>
                        <w:left w:val="none" w:sz="0" w:space="0" w:color="auto"/>
                        <w:bottom w:val="none" w:sz="0" w:space="0" w:color="auto"/>
                        <w:right w:val="none" w:sz="0" w:space="0" w:color="auto"/>
                      </w:divBdr>
                      <w:divsChild>
                        <w:div w:id="20209897">
                          <w:marLeft w:val="0"/>
                          <w:marRight w:val="0"/>
                          <w:marTop w:val="0"/>
                          <w:marBottom w:val="0"/>
                          <w:divBdr>
                            <w:top w:val="none" w:sz="0" w:space="0" w:color="auto"/>
                            <w:left w:val="none" w:sz="0" w:space="0" w:color="auto"/>
                            <w:bottom w:val="none" w:sz="0" w:space="0" w:color="auto"/>
                            <w:right w:val="none" w:sz="0" w:space="0" w:color="auto"/>
                          </w:divBdr>
                        </w:div>
                        <w:div w:id="35590709">
                          <w:marLeft w:val="0"/>
                          <w:marRight w:val="0"/>
                          <w:marTop w:val="0"/>
                          <w:marBottom w:val="0"/>
                          <w:divBdr>
                            <w:top w:val="none" w:sz="0" w:space="0" w:color="auto"/>
                            <w:left w:val="none" w:sz="0" w:space="0" w:color="auto"/>
                            <w:bottom w:val="none" w:sz="0" w:space="0" w:color="auto"/>
                            <w:right w:val="none" w:sz="0" w:space="0" w:color="auto"/>
                          </w:divBdr>
                        </w:div>
                        <w:div w:id="222763179">
                          <w:marLeft w:val="0"/>
                          <w:marRight w:val="0"/>
                          <w:marTop w:val="0"/>
                          <w:marBottom w:val="0"/>
                          <w:divBdr>
                            <w:top w:val="none" w:sz="0" w:space="0" w:color="auto"/>
                            <w:left w:val="none" w:sz="0" w:space="0" w:color="auto"/>
                            <w:bottom w:val="none" w:sz="0" w:space="0" w:color="auto"/>
                            <w:right w:val="none" w:sz="0" w:space="0" w:color="auto"/>
                          </w:divBdr>
                        </w:div>
                        <w:div w:id="1245846052">
                          <w:marLeft w:val="0"/>
                          <w:marRight w:val="0"/>
                          <w:marTop w:val="0"/>
                          <w:marBottom w:val="0"/>
                          <w:divBdr>
                            <w:top w:val="none" w:sz="0" w:space="0" w:color="auto"/>
                            <w:left w:val="none" w:sz="0" w:space="0" w:color="auto"/>
                            <w:bottom w:val="none" w:sz="0" w:space="0" w:color="auto"/>
                            <w:right w:val="none" w:sz="0" w:space="0" w:color="auto"/>
                          </w:divBdr>
                          <w:divsChild>
                            <w:div w:id="651256784">
                              <w:marLeft w:val="0"/>
                              <w:marRight w:val="0"/>
                              <w:marTop w:val="0"/>
                              <w:marBottom w:val="0"/>
                              <w:divBdr>
                                <w:top w:val="none" w:sz="0" w:space="0" w:color="auto"/>
                                <w:left w:val="none" w:sz="0" w:space="0" w:color="auto"/>
                                <w:bottom w:val="none" w:sz="0" w:space="0" w:color="auto"/>
                                <w:right w:val="none" w:sz="0" w:space="0" w:color="auto"/>
                              </w:divBdr>
                              <w:divsChild>
                                <w:div w:id="1135298976">
                                  <w:marLeft w:val="0"/>
                                  <w:marRight w:val="0"/>
                                  <w:marTop w:val="0"/>
                                  <w:marBottom w:val="0"/>
                                  <w:divBdr>
                                    <w:top w:val="none" w:sz="0" w:space="0" w:color="auto"/>
                                    <w:left w:val="none" w:sz="0" w:space="0" w:color="auto"/>
                                    <w:bottom w:val="none" w:sz="0" w:space="0" w:color="auto"/>
                                    <w:right w:val="none" w:sz="0" w:space="0" w:color="auto"/>
                                  </w:divBdr>
                                  <w:divsChild>
                                    <w:div w:id="1659770026">
                                      <w:marLeft w:val="0"/>
                                      <w:marRight w:val="0"/>
                                      <w:marTop w:val="0"/>
                                      <w:marBottom w:val="0"/>
                                      <w:divBdr>
                                        <w:top w:val="none" w:sz="0" w:space="0" w:color="auto"/>
                                        <w:left w:val="none" w:sz="0" w:space="0" w:color="auto"/>
                                        <w:bottom w:val="none" w:sz="0" w:space="0" w:color="auto"/>
                                        <w:right w:val="none" w:sz="0" w:space="0" w:color="auto"/>
                                      </w:divBdr>
                                      <w:divsChild>
                                        <w:div w:id="1530756903">
                                          <w:marLeft w:val="0"/>
                                          <w:marRight w:val="0"/>
                                          <w:marTop w:val="0"/>
                                          <w:marBottom w:val="0"/>
                                          <w:divBdr>
                                            <w:top w:val="none" w:sz="0" w:space="0" w:color="auto"/>
                                            <w:left w:val="none" w:sz="0" w:space="0" w:color="auto"/>
                                            <w:bottom w:val="none" w:sz="0" w:space="0" w:color="auto"/>
                                            <w:right w:val="none" w:sz="0" w:space="0" w:color="auto"/>
                                          </w:divBdr>
                                        </w:div>
                                        <w:div w:id="909582188">
                                          <w:marLeft w:val="0"/>
                                          <w:marRight w:val="0"/>
                                          <w:marTop w:val="0"/>
                                          <w:marBottom w:val="0"/>
                                          <w:divBdr>
                                            <w:top w:val="none" w:sz="0" w:space="0" w:color="auto"/>
                                            <w:left w:val="none" w:sz="0" w:space="0" w:color="auto"/>
                                            <w:bottom w:val="none" w:sz="0" w:space="0" w:color="auto"/>
                                            <w:right w:val="none" w:sz="0" w:space="0" w:color="auto"/>
                                          </w:divBdr>
                                        </w:div>
                                        <w:div w:id="331185217">
                                          <w:marLeft w:val="0"/>
                                          <w:marRight w:val="0"/>
                                          <w:marTop w:val="0"/>
                                          <w:marBottom w:val="0"/>
                                          <w:divBdr>
                                            <w:top w:val="none" w:sz="0" w:space="0" w:color="auto"/>
                                            <w:left w:val="none" w:sz="0" w:space="0" w:color="auto"/>
                                            <w:bottom w:val="none" w:sz="0" w:space="0" w:color="auto"/>
                                            <w:right w:val="none" w:sz="0" w:space="0" w:color="auto"/>
                                          </w:divBdr>
                                        </w:div>
                                        <w:div w:id="2084256260">
                                          <w:marLeft w:val="0"/>
                                          <w:marRight w:val="0"/>
                                          <w:marTop w:val="0"/>
                                          <w:marBottom w:val="0"/>
                                          <w:divBdr>
                                            <w:top w:val="none" w:sz="0" w:space="0" w:color="auto"/>
                                            <w:left w:val="none" w:sz="0" w:space="0" w:color="auto"/>
                                            <w:bottom w:val="none" w:sz="0" w:space="0" w:color="auto"/>
                                            <w:right w:val="none" w:sz="0" w:space="0" w:color="auto"/>
                                          </w:divBdr>
                                        </w:div>
                                        <w:div w:id="1105492964">
                                          <w:marLeft w:val="0"/>
                                          <w:marRight w:val="0"/>
                                          <w:marTop w:val="0"/>
                                          <w:marBottom w:val="0"/>
                                          <w:divBdr>
                                            <w:top w:val="none" w:sz="0" w:space="0" w:color="auto"/>
                                            <w:left w:val="none" w:sz="0" w:space="0" w:color="auto"/>
                                            <w:bottom w:val="none" w:sz="0" w:space="0" w:color="auto"/>
                                            <w:right w:val="none" w:sz="0" w:space="0" w:color="auto"/>
                                          </w:divBdr>
                                        </w:div>
                                        <w:div w:id="631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2C60E-46CC-4170-9550-921E1339E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8</Pages>
  <Words>4033</Words>
  <Characters>21097</Characters>
  <Application>Microsoft Office Word</Application>
  <DocSecurity>0</DocSecurity>
  <Lines>363</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Byrne</dc:creator>
  <cp:keywords/>
  <dc:description/>
  <cp:lastModifiedBy>Byron Jenkins</cp:lastModifiedBy>
  <cp:revision>3</cp:revision>
  <cp:lastPrinted>2026-03-11T19:51:00Z</cp:lastPrinted>
  <dcterms:created xsi:type="dcterms:W3CDTF">2026-03-11T19:52:00Z</dcterms:created>
  <dcterms:modified xsi:type="dcterms:W3CDTF">2026-03-12T12:31:00Z</dcterms:modified>
</cp:coreProperties>
</file>